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7CF17" w14:textId="77777777" w:rsidR="00F57F64" w:rsidRDefault="003E36D7">
      <w:pPr>
        <w:jc w:val="center"/>
        <w:rPr>
          <w:rFonts w:ascii="Calibri" w:eastAsia="Calibri" w:hAnsi="Calibri" w:cs="Calibri"/>
          <w:b/>
          <w:bCs/>
          <w:sz w:val="32"/>
          <w:szCs w:val="32"/>
        </w:rPr>
      </w:pPr>
      <w:r>
        <w:rPr>
          <w:rFonts w:ascii="Calibri" w:eastAsia="Calibri" w:hAnsi="Calibri" w:cs="Calibri"/>
          <w:b/>
          <w:bCs/>
          <w:sz w:val="32"/>
          <w:szCs w:val="32"/>
        </w:rPr>
        <w:t>APPENDICES</w:t>
      </w:r>
    </w:p>
    <w:p w14:paraId="5B77CF18" w14:textId="77777777" w:rsidR="00F57F64" w:rsidRDefault="00F57F64">
      <w:pPr>
        <w:rPr>
          <w:rFonts w:ascii="Calibri" w:eastAsia="Calibri" w:hAnsi="Calibri" w:cs="Calibri"/>
          <w:sz w:val="24"/>
          <w:szCs w:val="24"/>
        </w:rPr>
      </w:pPr>
    </w:p>
    <w:p w14:paraId="5B77CF19" w14:textId="77777777" w:rsidR="00F57F64" w:rsidRDefault="003E36D7">
      <w:pPr>
        <w:rPr>
          <w:rFonts w:ascii="Calibri" w:eastAsia="Calibri" w:hAnsi="Calibri" w:cs="Calibri"/>
          <w:b/>
          <w:bCs/>
          <w:sz w:val="24"/>
          <w:szCs w:val="24"/>
        </w:rPr>
      </w:pPr>
      <w:r>
        <w:rPr>
          <w:rFonts w:ascii="Calibri" w:eastAsia="Calibri" w:hAnsi="Calibri" w:cs="Calibri"/>
          <w:b/>
          <w:bCs/>
          <w:sz w:val="24"/>
          <w:szCs w:val="24"/>
        </w:rPr>
        <w:t xml:space="preserve">Appendix A: modified search strategy </w:t>
      </w:r>
    </w:p>
    <w:p w14:paraId="5B77CF1A" w14:textId="77777777" w:rsidR="00F57F64" w:rsidRDefault="00F57F64">
      <w:pPr>
        <w:rPr>
          <w:rFonts w:ascii="Calibri" w:eastAsia="Calibri" w:hAnsi="Calibri" w:cs="Calibri"/>
          <w:sz w:val="24"/>
          <w:szCs w:val="24"/>
        </w:rPr>
      </w:pPr>
    </w:p>
    <w:p w14:paraId="5B77CF1B" w14:textId="77777777" w:rsidR="00F57F64" w:rsidRDefault="003E36D7">
      <w:pPr>
        <w:rPr>
          <w:rFonts w:ascii="Calibri" w:eastAsia="Calibri" w:hAnsi="Calibri" w:cs="Calibri"/>
          <w:b/>
          <w:bCs/>
          <w:sz w:val="24"/>
          <w:szCs w:val="24"/>
        </w:rPr>
      </w:pPr>
      <w:r>
        <w:rPr>
          <w:rFonts w:ascii="Calibri" w:eastAsia="Calibri" w:hAnsi="Calibri" w:cs="Calibri"/>
          <w:b/>
          <w:bCs/>
          <w:sz w:val="24"/>
          <w:szCs w:val="24"/>
        </w:rPr>
        <w:t>PubMed (342)</w:t>
      </w:r>
    </w:p>
    <w:p w14:paraId="5B77CF1C" w14:textId="77777777" w:rsidR="00F57F64" w:rsidRDefault="00F57F64">
      <w:pPr>
        <w:rPr>
          <w:rFonts w:ascii="Calibri" w:eastAsia="Calibri" w:hAnsi="Calibri" w:cs="Calibri"/>
          <w:sz w:val="24"/>
          <w:szCs w:val="24"/>
        </w:rPr>
      </w:pPr>
    </w:p>
    <w:p w14:paraId="5B77CF1D" w14:textId="77777777" w:rsidR="00F57F64" w:rsidRDefault="003E36D7">
      <w:pPr>
        <w:rPr>
          <w:rFonts w:ascii="Calibri" w:eastAsia="Calibri" w:hAnsi="Calibri" w:cs="Calibri"/>
          <w:sz w:val="24"/>
          <w:szCs w:val="24"/>
        </w:rPr>
      </w:pPr>
      <w:r>
        <w:rPr>
          <w:rFonts w:ascii="Calibri" w:eastAsia="Calibri" w:hAnsi="Calibri" w:cs="Calibri"/>
          <w:sz w:val="24"/>
          <w:szCs w:val="24"/>
        </w:rPr>
        <w:t>(simulat*[tiab] or "standardized patients"[tiab] or "standardized participants"[tiab] or "augmented reality"[tiab] or "virtual reality"[tiab] or manikin*[tiab] or “cardiopulmonary resuscitation”[tiab] or “manikins”[mesh] or “simulation training”[mesh] or “</w:t>
      </w:r>
      <w:r>
        <w:rPr>
          <w:rFonts w:ascii="Calibri" w:eastAsia="Calibri" w:hAnsi="Calibri" w:cs="Calibri"/>
          <w:sz w:val="24"/>
          <w:szCs w:val="24"/>
        </w:rPr>
        <w:t>computer simulation”[mesh]) and (educat*[tiab] or train*[tiab] or "professional development"[tiab] or "staff development"[tiab] or inservice[tiab] or teaching[tiab] or “inservice training”[mesh] or “education”[mesh] or “teaching”[mesh]) and (Pakistan*[tiab</w:t>
      </w:r>
      <w:r>
        <w:rPr>
          <w:rFonts w:ascii="Calibri" w:eastAsia="Calibri" w:hAnsi="Calibri" w:cs="Calibri"/>
          <w:sz w:val="24"/>
          <w:szCs w:val="24"/>
        </w:rPr>
        <w:t>] or “Pakistan”[mesh] or “Pakistan”[Affiliation])</w:t>
      </w:r>
    </w:p>
    <w:p w14:paraId="5B77CF1E" w14:textId="77777777" w:rsidR="00F57F64" w:rsidRDefault="00F57F64">
      <w:pPr>
        <w:rPr>
          <w:rFonts w:ascii="Calibri" w:eastAsia="Calibri" w:hAnsi="Calibri" w:cs="Calibri"/>
          <w:sz w:val="24"/>
          <w:szCs w:val="24"/>
        </w:rPr>
      </w:pPr>
    </w:p>
    <w:p w14:paraId="5B77CF1F" w14:textId="77777777" w:rsidR="00F57F64" w:rsidRDefault="003E36D7">
      <w:pPr>
        <w:rPr>
          <w:rFonts w:ascii="Calibri" w:eastAsia="Calibri" w:hAnsi="Calibri" w:cs="Calibri"/>
          <w:b/>
          <w:bCs/>
          <w:sz w:val="24"/>
          <w:szCs w:val="24"/>
        </w:rPr>
      </w:pPr>
      <w:r>
        <w:rPr>
          <w:rFonts w:ascii="Calibri" w:eastAsia="Calibri" w:hAnsi="Calibri" w:cs="Calibri"/>
          <w:b/>
          <w:bCs/>
          <w:sz w:val="24"/>
          <w:szCs w:val="24"/>
        </w:rPr>
        <w:t>CINAHL (218)</w:t>
      </w:r>
    </w:p>
    <w:p w14:paraId="5B77CF20" w14:textId="77777777" w:rsidR="00F57F64" w:rsidRDefault="00F57F64">
      <w:pPr>
        <w:rPr>
          <w:rFonts w:ascii="Calibri" w:eastAsia="Calibri" w:hAnsi="Calibri" w:cs="Calibri"/>
          <w:sz w:val="24"/>
          <w:szCs w:val="24"/>
        </w:rPr>
      </w:pPr>
    </w:p>
    <w:p w14:paraId="5B77CF21" w14:textId="77777777" w:rsidR="00F57F64" w:rsidRDefault="003E36D7">
      <w:pPr>
        <w:rPr>
          <w:rFonts w:ascii="Calibri" w:eastAsia="Calibri" w:hAnsi="Calibri" w:cs="Calibri"/>
          <w:sz w:val="24"/>
          <w:szCs w:val="24"/>
        </w:rPr>
      </w:pPr>
      <w:r>
        <w:rPr>
          <w:rFonts w:ascii="Calibri" w:eastAsia="Calibri" w:hAnsi="Calibri" w:cs="Calibri"/>
          <w:sz w:val="24"/>
          <w:szCs w:val="24"/>
        </w:rPr>
        <w:t>(simulat* or "standardized patients" or "standardized participants" or "augmented reality" or "virtual reality" or manikin* or “cardiopulmonary resuscitation” or “MH "Simulations+" or MH "Mod</w:t>
      </w:r>
      <w:r>
        <w:rPr>
          <w:rFonts w:ascii="Calibri" w:eastAsia="Calibri" w:hAnsi="Calibri" w:cs="Calibri"/>
          <w:sz w:val="24"/>
          <w:szCs w:val="24"/>
        </w:rPr>
        <w:t>els, Anatomic+") and (educat* or train* or "professional development" or "staff development" or inservice or teaching or MH "Professional Development+" or MH "Education+") and (Pakistan* or MH "Pakistan" or AF Pakistan)</w:t>
      </w:r>
    </w:p>
    <w:p w14:paraId="5B77CF22" w14:textId="77777777" w:rsidR="00F57F64" w:rsidRDefault="00F57F64">
      <w:pPr>
        <w:rPr>
          <w:rFonts w:ascii="Calibri" w:eastAsia="Calibri" w:hAnsi="Calibri" w:cs="Calibri"/>
          <w:b/>
          <w:bCs/>
          <w:sz w:val="24"/>
          <w:szCs w:val="24"/>
        </w:rPr>
      </w:pPr>
    </w:p>
    <w:p w14:paraId="5B77CF23" w14:textId="77777777" w:rsidR="00F57F64" w:rsidRDefault="003E36D7">
      <w:pPr>
        <w:rPr>
          <w:rFonts w:ascii="Calibri" w:eastAsia="Calibri" w:hAnsi="Calibri" w:cs="Calibri"/>
          <w:b/>
          <w:bCs/>
          <w:sz w:val="24"/>
          <w:szCs w:val="24"/>
        </w:rPr>
      </w:pPr>
      <w:r>
        <w:rPr>
          <w:rFonts w:ascii="Calibri" w:eastAsia="Calibri" w:hAnsi="Calibri" w:cs="Calibri"/>
          <w:b/>
          <w:bCs/>
          <w:sz w:val="24"/>
          <w:szCs w:val="24"/>
        </w:rPr>
        <w:t>PsycInfo (52)</w:t>
      </w:r>
    </w:p>
    <w:p w14:paraId="5B77CF24" w14:textId="77777777" w:rsidR="00F57F64" w:rsidRDefault="00F57F64">
      <w:pPr>
        <w:rPr>
          <w:rFonts w:ascii="Calibri" w:eastAsia="Calibri" w:hAnsi="Calibri" w:cs="Calibri"/>
          <w:sz w:val="24"/>
          <w:szCs w:val="24"/>
        </w:rPr>
      </w:pPr>
    </w:p>
    <w:p w14:paraId="5B77CF25" w14:textId="77777777" w:rsidR="00F57F64" w:rsidRDefault="003E36D7">
      <w:pPr>
        <w:rPr>
          <w:rFonts w:ascii="Calibri" w:eastAsia="Calibri" w:hAnsi="Calibri" w:cs="Calibri"/>
          <w:sz w:val="24"/>
          <w:szCs w:val="24"/>
        </w:rPr>
      </w:pPr>
      <w:r>
        <w:rPr>
          <w:rFonts w:ascii="Calibri" w:eastAsia="Calibri" w:hAnsi="Calibri" w:cs="Calibri"/>
          <w:sz w:val="24"/>
          <w:szCs w:val="24"/>
        </w:rPr>
        <w:t>(simulat* or standar</w:t>
      </w:r>
      <w:r>
        <w:rPr>
          <w:rFonts w:ascii="Calibri" w:eastAsia="Calibri" w:hAnsi="Calibri" w:cs="Calibri"/>
          <w:sz w:val="24"/>
          <w:szCs w:val="24"/>
        </w:rPr>
        <w:t>dized patients or standardized participants or augmented reality or virtual reality or manikin* or cardiopulmonary resuscitation or exp simulation/) and (educat* or train* or professional development or staff development or inservice or exp education/ or e</w:t>
      </w:r>
      <w:r>
        <w:rPr>
          <w:rFonts w:ascii="Calibri" w:eastAsia="Calibri" w:hAnsi="Calibri" w:cs="Calibri"/>
          <w:sz w:val="24"/>
          <w:szCs w:val="24"/>
        </w:rPr>
        <w:t>xp professional development/ or exp teaching/) and (Pakistan* or Pakistan.in,lo.)</w:t>
      </w:r>
    </w:p>
    <w:p w14:paraId="5B77CF26" w14:textId="77777777" w:rsidR="00F57F64" w:rsidRDefault="00F57F64">
      <w:pPr>
        <w:rPr>
          <w:rFonts w:ascii="Calibri" w:eastAsia="Calibri" w:hAnsi="Calibri" w:cs="Calibri"/>
          <w:sz w:val="24"/>
          <w:szCs w:val="24"/>
        </w:rPr>
      </w:pPr>
    </w:p>
    <w:p w14:paraId="5B77CF27" w14:textId="77777777" w:rsidR="00F57F64" w:rsidRDefault="003E36D7">
      <w:pPr>
        <w:rPr>
          <w:rFonts w:ascii="Calibri" w:eastAsia="Calibri" w:hAnsi="Calibri" w:cs="Calibri"/>
          <w:b/>
          <w:bCs/>
          <w:sz w:val="24"/>
          <w:szCs w:val="24"/>
        </w:rPr>
      </w:pPr>
      <w:r>
        <w:rPr>
          <w:rFonts w:ascii="Calibri" w:eastAsia="Calibri" w:hAnsi="Calibri" w:cs="Calibri"/>
          <w:b/>
          <w:bCs/>
          <w:sz w:val="24"/>
          <w:szCs w:val="24"/>
        </w:rPr>
        <w:t>PakMediNet (53)</w:t>
      </w:r>
    </w:p>
    <w:p w14:paraId="5B77CF28" w14:textId="77777777" w:rsidR="00F57F64" w:rsidRDefault="00F57F64">
      <w:pPr>
        <w:rPr>
          <w:rFonts w:ascii="Calibri" w:eastAsia="Calibri" w:hAnsi="Calibri" w:cs="Calibri"/>
          <w:sz w:val="24"/>
          <w:szCs w:val="24"/>
        </w:rPr>
      </w:pPr>
    </w:p>
    <w:p w14:paraId="5B77CF29" w14:textId="77777777" w:rsidR="00F57F64" w:rsidRDefault="003E36D7">
      <w:pPr>
        <w:rPr>
          <w:rFonts w:ascii="Calibri" w:eastAsia="Calibri" w:hAnsi="Calibri" w:cs="Calibri"/>
          <w:sz w:val="24"/>
          <w:szCs w:val="24"/>
        </w:rPr>
      </w:pPr>
      <w:r>
        <w:rPr>
          <w:rFonts w:ascii="Calibri" w:eastAsia="Calibri" w:hAnsi="Calibri" w:cs="Calibri"/>
          <w:sz w:val="24"/>
          <w:szCs w:val="24"/>
        </w:rPr>
        <w:t xml:space="preserve">The search function does not allow complex searches. Hence, each combination of terms from the simulation group and education group in the above strategies </w:t>
      </w:r>
      <w:r>
        <w:rPr>
          <w:rFonts w:ascii="Calibri" w:eastAsia="Calibri" w:hAnsi="Calibri" w:cs="Calibri"/>
          <w:sz w:val="24"/>
          <w:szCs w:val="24"/>
        </w:rPr>
        <w:t>was searched.</w:t>
      </w:r>
    </w:p>
    <w:p w14:paraId="5B77CF2A" w14:textId="77777777" w:rsidR="00F57F64" w:rsidRDefault="00F57F64">
      <w:pPr>
        <w:rPr>
          <w:rFonts w:ascii="Calibri" w:eastAsia="Calibri" w:hAnsi="Calibri" w:cs="Calibri"/>
          <w:sz w:val="24"/>
          <w:szCs w:val="24"/>
        </w:rPr>
      </w:pPr>
    </w:p>
    <w:p w14:paraId="5B77CF2B" w14:textId="77777777" w:rsidR="00F57F64" w:rsidRDefault="00F57F64">
      <w:pPr>
        <w:rPr>
          <w:rFonts w:ascii="Calibri" w:eastAsia="Calibri" w:hAnsi="Calibri" w:cs="Calibri"/>
          <w:sz w:val="24"/>
          <w:szCs w:val="24"/>
        </w:rPr>
      </w:pPr>
    </w:p>
    <w:p w14:paraId="5B77CF2C" w14:textId="77777777" w:rsidR="00F57F64" w:rsidRDefault="003E36D7">
      <w:pPr>
        <w:pStyle w:val="Heading1"/>
        <w:keepNext w:val="0"/>
        <w:keepLines w:val="0"/>
        <w:spacing w:before="0" w:after="0"/>
        <w:rPr>
          <w:rFonts w:ascii="Calibri" w:eastAsia="Calibri" w:hAnsi="Calibri" w:cs="Calibri"/>
          <w:b/>
          <w:bCs/>
          <w:sz w:val="28"/>
          <w:szCs w:val="28"/>
        </w:rPr>
      </w:pPr>
      <w:bookmarkStart w:id="0" w:name="_pz7rczpxz0u0" w:colFirst="0" w:colLast="0"/>
      <w:bookmarkEnd w:id="0"/>
      <w:r>
        <w:br w:type="page"/>
      </w:r>
    </w:p>
    <w:p w14:paraId="5B77CF2D" w14:textId="77777777" w:rsidR="00F57F64" w:rsidRDefault="003E36D7">
      <w:pPr>
        <w:pStyle w:val="Heading1"/>
        <w:keepNext w:val="0"/>
        <w:keepLines w:val="0"/>
        <w:spacing w:before="0" w:after="0"/>
        <w:rPr>
          <w:rFonts w:ascii="Calibri" w:eastAsia="Calibri" w:hAnsi="Calibri" w:cs="Calibri"/>
          <w:b/>
          <w:bCs/>
          <w:sz w:val="24"/>
          <w:szCs w:val="24"/>
        </w:rPr>
      </w:pPr>
      <w:bookmarkStart w:id="1" w:name="_oividqkjjxw5" w:colFirst="0" w:colLast="0"/>
      <w:bookmarkEnd w:id="1"/>
      <w:r>
        <w:rPr>
          <w:rFonts w:ascii="Calibri" w:eastAsia="Calibri" w:hAnsi="Calibri" w:cs="Calibri"/>
          <w:b/>
          <w:bCs/>
          <w:sz w:val="24"/>
          <w:szCs w:val="24"/>
        </w:rPr>
        <w:lastRenderedPageBreak/>
        <w:t>Appendix B: Risk of Bias Assessment – Numeric Thresholds, Critical Domains, and Tool Structure</w:t>
      </w:r>
    </w:p>
    <w:p w14:paraId="5B77CF2E" w14:textId="77777777" w:rsidR="00F57F64" w:rsidRDefault="00F57F64">
      <w:pPr>
        <w:rPr>
          <w:rFonts w:ascii="Calibri" w:eastAsia="Calibri" w:hAnsi="Calibri" w:cs="Calibri"/>
          <w:sz w:val="24"/>
          <w:szCs w:val="24"/>
        </w:rPr>
      </w:pPr>
    </w:p>
    <w:p w14:paraId="5B77CF2F" w14:textId="77777777" w:rsidR="00F57F64" w:rsidRDefault="003E36D7">
      <w:pPr>
        <w:pStyle w:val="Heading2"/>
        <w:keepNext w:val="0"/>
        <w:keepLines w:val="0"/>
        <w:spacing w:before="0" w:after="0"/>
        <w:rPr>
          <w:rFonts w:ascii="Calibri" w:eastAsia="Calibri" w:hAnsi="Calibri" w:cs="Calibri"/>
          <w:b/>
          <w:bCs/>
          <w:sz w:val="24"/>
          <w:szCs w:val="24"/>
        </w:rPr>
      </w:pPr>
      <w:bookmarkStart w:id="2" w:name="_omn6lkbd4ssy" w:colFirst="0" w:colLast="0"/>
      <w:bookmarkEnd w:id="2"/>
      <w:r>
        <w:rPr>
          <w:rFonts w:ascii="Calibri" w:eastAsia="Calibri" w:hAnsi="Calibri" w:cs="Calibri"/>
          <w:b/>
          <w:bCs/>
          <w:sz w:val="24"/>
          <w:szCs w:val="24"/>
        </w:rPr>
        <w:t>Overview</w:t>
      </w:r>
    </w:p>
    <w:p w14:paraId="5B77CF30" w14:textId="77777777" w:rsidR="00F57F64" w:rsidRDefault="003E36D7">
      <w:pPr>
        <w:rPr>
          <w:rFonts w:ascii="Calibri" w:eastAsia="Calibri" w:hAnsi="Calibri" w:cs="Calibri"/>
          <w:sz w:val="24"/>
          <w:szCs w:val="24"/>
        </w:rPr>
      </w:pPr>
      <w:r>
        <w:rPr>
          <w:rFonts w:ascii="Calibri" w:eastAsia="Calibri" w:hAnsi="Calibri" w:cs="Calibri"/>
          <w:sz w:val="24"/>
          <w:szCs w:val="24"/>
        </w:rPr>
        <w:t>This supplement provides explicit numeric thresholds, critical domains, and the number of questions for each risk of bias (RoB) appra</w:t>
      </w:r>
      <w:r>
        <w:rPr>
          <w:rFonts w:ascii="Calibri" w:eastAsia="Calibri" w:hAnsi="Calibri" w:cs="Calibri"/>
          <w:sz w:val="24"/>
          <w:szCs w:val="24"/>
        </w:rPr>
        <w:t xml:space="preserve">isal tool used in this systematic review. The approach was based on current best practices and authoritative guidance to ensure transparency, reproducibility, and consistency among raters (Aromataris et al., 2024; Viswanathan et al., 2018; Higgins et al., </w:t>
      </w:r>
      <w:r>
        <w:rPr>
          <w:rFonts w:ascii="Calibri" w:eastAsia="Calibri" w:hAnsi="Calibri" w:cs="Calibri"/>
          <w:sz w:val="24"/>
          <w:szCs w:val="24"/>
        </w:rPr>
        <w:t>2024).</w:t>
      </w:r>
    </w:p>
    <w:p w14:paraId="5B77CF31" w14:textId="77777777" w:rsidR="00F57F64" w:rsidRDefault="00F57F64">
      <w:pPr>
        <w:rPr>
          <w:rFonts w:ascii="Calibri" w:eastAsia="Calibri" w:hAnsi="Calibri" w:cs="Calibri"/>
          <w:sz w:val="24"/>
          <w:szCs w:val="24"/>
        </w:rPr>
      </w:pPr>
    </w:p>
    <w:p w14:paraId="5B77CF32" w14:textId="77777777" w:rsidR="00F57F64" w:rsidRDefault="003E36D7">
      <w:pPr>
        <w:pStyle w:val="Heading2"/>
        <w:keepNext w:val="0"/>
        <w:keepLines w:val="0"/>
        <w:spacing w:before="0" w:after="0"/>
        <w:rPr>
          <w:rFonts w:ascii="Calibri" w:eastAsia="Calibri" w:hAnsi="Calibri" w:cs="Calibri"/>
          <w:b/>
          <w:bCs/>
          <w:sz w:val="24"/>
          <w:szCs w:val="24"/>
        </w:rPr>
      </w:pPr>
      <w:bookmarkStart w:id="3" w:name="_kbkquyog4mbd" w:colFirst="0" w:colLast="0"/>
      <w:bookmarkEnd w:id="3"/>
      <w:r>
        <w:rPr>
          <w:rFonts w:ascii="Calibri" w:eastAsia="Calibri" w:hAnsi="Calibri" w:cs="Calibri"/>
          <w:b/>
          <w:bCs/>
          <w:sz w:val="24"/>
          <w:szCs w:val="24"/>
        </w:rPr>
        <w:t>General Principles</w:t>
      </w:r>
    </w:p>
    <w:p w14:paraId="5B77CF33" w14:textId="77777777" w:rsidR="00F57F64" w:rsidRDefault="003E36D7">
      <w:pPr>
        <w:numPr>
          <w:ilvl w:val="0"/>
          <w:numId w:val="3"/>
        </w:numPr>
        <w:rPr>
          <w:rFonts w:ascii="Calibri" w:eastAsia="Calibri" w:hAnsi="Calibri" w:cs="Calibri"/>
          <w:sz w:val="24"/>
          <w:szCs w:val="24"/>
        </w:rPr>
      </w:pPr>
      <w:r>
        <w:rPr>
          <w:rFonts w:ascii="Calibri" w:eastAsia="Calibri" w:hAnsi="Calibri" w:cs="Calibri"/>
          <w:sz w:val="24"/>
          <w:szCs w:val="24"/>
        </w:rPr>
        <w:t>Each checklist item was rated as “Yes” (1 point), “No” or “Unclear” (0 points). “Not Applicable” items were excluded from the denominator (Aromataris et al., 2024).</w:t>
      </w:r>
    </w:p>
    <w:p w14:paraId="5B77CF34" w14:textId="77777777" w:rsidR="00F57F64" w:rsidRDefault="003E36D7">
      <w:pPr>
        <w:numPr>
          <w:ilvl w:val="0"/>
          <w:numId w:val="3"/>
        </w:numPr>
        <w:rPr>
          <w:rFonts w:ascii="Calibri" w:eastAsia="Calibri" w:hAnsi="Calibri" w:cs="Calibri"/>
          <w:sz w:val="24"/>
          <w:szCs w:val="24"/>
        </w:rPr>
      </w:pPr>
      <w:r>
        <w:rPr>
          <w:rFonts w:ascii="Calibri" w:eastAsia="Calibri" w:hAnsi="Calibri" w:cs="Calibri"/>
          <w:sz w:val="24"/>
          <w:szCs w:val="24"/>
        </w:rPr>
        <w:t>Studies were categorized as low, moderate, or high risk of bias based on the number of “Yes” responses, using pre-specified cut-offs for each tool (Viswanathan et al., 2018).</w:t>
      </w:r>
    </w:p>
    <w:p w14:paraId="5B77CF35" w14:textId="77777777" w:rsidR="00F57F64" w:rsidRDefault="003E36D7">
      <w:pPr>
        <w:numPr>
          <w:ilvl w:val="0"/>
          <w:numId w:val="3"/>
        </w:numPr>
        <w:rPr>
          <w:rFonts w:ascii="Calibri" w:eastAsia="Calibri" w:hAnsi="Calibri" w:cs="Calibri"/>
          <w:sz w:val="24"/>
          <w:szCs w:val="24"/>
        </w:rPr>
      </w:pPr>
      <w:r>
        <w:rPr>
          <w:rFonts w:ascii="Calibri" w:eastAsia="Calibri" w:hAnsi="Calibri" w:cs="Calibri"/>
          <w:sz w:val="24"/>
          <w:szCs w:val="24"/>
        </w:rPr>
        <w:t>Critical domains were explicitly identified for each tool: a single “No” or “Uncl</w:t>
      </w:r>
      <w:r>
        <w:rPr>
          <w:rFonts w:ascii="Calibri" w:eastAsia="Calibri" w:hAnsi="Calibri" w:cs="Calibri"/>
          <w:sz w:val="24"/>
          <w:szCs w:val="24"/>
        </w:rPr>
        <w:t>ear” in a critical domain could override the numeric score and resulted in a high risk rating, consistent with best-practice guidance (Viswanathan et al., 2018; Higgins et al., 2024).</w:t>
      </w:r>
    </w:p>
    <w:p w14:paraId="5B77CF36" w14:textId="77777777" w:rsidR="00F57F64" w:rsidRDefault="003E36D7">
      <w:pPr>
        <w:numPr>
          <w:ilvl w:val="0"/>
          <w:numId w:val="3"/>
        </w:numPr>
        <w:rPr>
          <w:rFonts w:ascii="Calibri" w:eastAsia="Calibri" w:hAnsi="Calibri" w:cs="Calibri"/>
          <w:sz w:val="24"/>
          <w:szCs w:val="24"/>
        </w:rPr>
      </w:pPr>
      <w:r>
        <w:rPr>
          <w:rFonts w:ascii="Calibri" w:eastAsia="Calibri" w:hAnsi="Calibri" w:cs="Calibri"/>
          <w:sz w:val="24"/>
          <w:szCs w:val="24"/>
        </w:rPr>
        <w:t>Where published cut-offs were unavailable, thresholds were set for inter</w:t>
      </w:r>
      <w:r>
        <w:rPr>
          <w:rFonts w:ascii="Calibri" w:eastAsia="Calibri" w:hAnsi="Calibri" w:cs="Calibri"/>
          <w:sz w:val="24"/>
          <w:szCs w:val="24"/>
        </w:rPr>
        <w:t>nal consistency and were noted as such (Aromataris et al., 2024).</w:t>
      </w:r>
      <w:r>
        <w:rPr>
          <w:rFonts w:ascii="Calibri" w:eastAsia="Calibri" w:hAnsi="Calibri" w:cs="Calibri"/>
          <w:sz w:val="24"/>
          <w:szCs w:val="24"/>
        </w:rPr>
        <w:br/>
      </w:r>
    </w:p>
    <w:p w14:paraId="5B77CF37" w14:textId="77777777" w:rsidR="00F57F64" w:rsidRDefault="003E36D7">
      <w:pPr>
        <w:pStyle w:val="Heading2"/>
        <w:keepNext w:val="0"/>
        <w:keepLines w:val="0"/>
        <w:spacing w:before="0" w:after="0"/>
        <w:rPr>
          <w:rFonts w:ascii="Calibri" w:eastAsia="Calibri" w:hAnsi="Calibri" w:cs="Calibri"/>
          <w:b/>
          <w:bCs/>
          <w:sz w:val="24"/>
          <w:szCs w:val="24"/>
        </w:rPr>
      </w:pPr>
      <w:bookmarkStart w:id="4" w:name="_tvvzmhviablc" w:colFirst="0" w:colLast="0"/>
      <w:bookmarkEnd w:id="4"/>
      <w:r>
        <w:rPr>
          <w:rFonts w:ascii="Calibri" w:eastAsia="Calibri" w:hAnsi="Calibri" w:cs="Calibri"/>
          <w:b/>
          <w:bCs/>
          <w:sz w:val="24"/>
          <w:szCs w:val="24"/>
        </w:rPr>
        <w:t>Tool-Specific Thresholds, Critical Domains, and Number of Questions</w:t>
      </w:r>
    </w:p>
    <w:p w14:paraId="5B77CF38" w14:textId="77777777" w:rsidR="00F57F64" w:rsidRDefault="003E36D7">
      <w:pPr>
        <w:pStyle w:val="Heading2"/>
        <w:keepNext w:val="0"/>
        <w:keepLines w:val="0"/>
        <w:spacing w:before="0" w:after="0"/>
        <w:rPr>
          <w:rFonts w:ascii="Calibri" w:eastAsia="Calibri" w:hAnsi="Calibri" w:cs="Calibri"/>
          <w:b/>
          <w:bCs/>
          <w:i/>
          <w:iCs/>
          <w:sz w:val="24"/>
          <w:szCs w:val="24"/>
        </w:rPr>
      </w:pPr>
      <w:bookmarkStart w:id="5" w:name="_1irunl5z9bu6" w:colFirst="0" w:colLast="0"/>
      <w:bookmarkEnd w:id="5"/>
      <w:r>
        <w:rPr>
          <w:rFonts w:ascii="Calibri" w:eastAsia="Calibri" w:hAnsi="Calibri" w:cs="Calibri"/>
          <w:b/>
          <w:bCs/>
          <w:i/>
          <w:iCs/>
          <w:sz w:val="24"/>
          <w:szCs w:val="24"/>
        </w:rPr>
        <w:t>NIH Quality Assessment Tool (Pre-Post Studies)</w:t>
      </w:r>
    </w:p>
    <w:p w14:paraId="5B77CF39" w14:textId="77777777" w:rsidR="00F57F64" w:rsidRDefault="003E36D7">
      <w:pPr>
        <w:numPr>
          <w:ilvl w:val="0"/>
          <w:numId w:val="2"/>
        </w:numPr>
        <w:rPr>
          <w:rFonts w:ascii="Calibri" w:eastAsia="Calibri" w:hAnsi="Calibri" w:cs="Calibri"/>
          <w:sz w:val="24"/>
          <w:szCs w:val="24"/>
        </w:rPr>
      </w:pPr>
      <w:r>
        <w:rPr>
          <w:rFonts w:ascii="Calibri" w:eastAsia="Calibri" w:hAnsi="Calibri" w:cs="Calibri"/>
          <w:sz w:val="24"/>
          <w:szCs w:val="24"/>
        </w:rPr>
        <w:t>Number of questions: 12</w:t>
      </w:r>
    </w:p>
    <w:p w14:paraId="5B77CF3A" w14:textId="77777777" w:rsidR="00F57F64" w:rsidRDefault="003E36D7">
      <w:pPr>
        <w:numPr>
          <w:ilvl w:val="0"/>
          <w:numId w:val="2"/>
        </w:numPr>
        <w:rPr>
          <w:rFonts w:ascii="Calibri" w:eastAsia="Calibri" w:hAnsi="Calibri" w:cs="Calibri"/>
          <w:sz w:val="24"/>
          <w:szCs w:val="24"/>
        </w:rPr>
      </w:pPr>
      <w:r>
        <w:rPr>
          <w:rFonts w:ascii="Calibri" w:eastAsia="Calibri" w:hAnsi="Calibri" w:cs="Calibri"/>
          <w:sz w:val="24"/>
          <w:szCs w:val="24"/>
        </w:rPr>
        <w:t>Low risk: ≥10 “Yes” responses (≤2 “No”/“Unclear”)</w:t>
      </w:r>
    </w:p>
    <w:p w14:paraId="5B77CF3B" w14:textId="77777777" w:rsidR="00F57F64" w:rsidRDefault="003E36D7">
      <w:pPr>
        <w:numPr>
          <w:ilvl w:val="0"/>
          <w:numId w:val="2"/>
        </w:numPr>
        <w:rPr>
          <w:rFonts w:ascii="Calibri" w:eastAsia="Calibri" w:hAnsi="Calibri" w:cs="Calibri"/>
          <w:sz w:val="24"/>
          <w:szCs w:val="24"/>
        </w:rPr>
      </w:pPr>
      <w:r>
        <w:rPr>
          <w:rFonts w:ascii="Calibri" w:eastAsia="Calibri" w:hAnsi="Calibri" w:cs="Calibri"/>
          <w:sz w:val="24"/>
          <w:szCs w:val="24"/>
        </w:rPr>
        <w:t>Moderate risk: 7–9 “Yes” responses (3–5 “No”/“Unclear”)</w:t>
      </w:r>
    </w:p>
    <w:p w14:paraId="5B77CF3C" w14:textId="77777777" w:rsidR="00F57F64" w:rsidRDefault="003E36D7">
      <w:pPr>
        <w:numPr>
          <w:ilvl w:val="0"/>
          <w:numId w:val="2"/>
        </w:numPr>
        <w:rPr>
          <w:rFonts w:ascii="Calibri" w:eastAsia="Calibri" w:hAnsi="Calibri" w:cs="Calibri"/>
          <w:sz w:val="24"/>
          <w:szCs w:val="24"/>
        </w:rPr>
      </w:pPr>
      <w:r>
        <w:rPr>
          <w:rFonts w:ascii="Calibri" w:eastAsia="Calibri" w:hAnsi="Calibri" w:cs="Calibri"/>
          <w:sz w:val="24"/>
          <w:szCs w:val="24"/>
        </w:rPr>
        <w:t>High risk: ≤6 “Yes” responses (≥6 “No”/“Unclear”)</w:t>
      </w:r>
    </w:p>
    <w:p w14:paraId="5B77CF3D" w14:textId="77777777" w:rsidR="00F57F64" w:rsidRDefault="003E36D7">
      <w:pPr>
        <w:numPr>
          <w:ilvl w:val="0"/>
          <w:numId w:val="2"/>
        </w:numPr>
        <w:rPr>
          <w:rFonts w:ascii="Calibri" w:eastAsia="Calibri" w:hAnsi="Calibri" w:cs="Calibri"/>
          <w:sz w:val="24"/>
          <w:szCs w:val="24"/>
        </w:rPr>
      </w:pPr>
      <w:r>
        <w:rPr>
          <w:rFonts w:ascii="Calibri" w:eastAsia="Calibri" w:hAnsi="Calibri" w:cs="Calibri"/>
          <w:sz w:val="24"/>
          <w:szCs w:val="24"/>
        </w:rPr>
        <w:t>Critical domains: Sample size justification, outcome measurement validity, follow-up rate (Viswanathan et al., 2018).</w:t>
      </w:r>
    </w:p>
    <w:p w14:paraId="5B77CF3E" w14:textId="77777777" w:rsidR="00F57F64" w:rsidRDefault="003E36D7">
      <w:pPr>
        <w:numPr>
          <w:ilvl w:val="0"/>
          <w:numId w:val="2"/>
        </w:numPr>
        <w:rPr>
          <w:rFonts w:ascii="Calibri" w:eastAsia="Calibri" w:hAnsi="Calibri" w:cs="Calibri"/>
          <w:sz w:val="24"/>
          <w:szCs w:val="24"/>
        </w:rPr>
      </w:pPr>
      <w:r>
        <w:rPr>
          <w:rFonts w:ascii="Calibri" w:eastAsia="Calibri" w:hAnsi="Calibri" w:cs="Calibri"/>
          <w:sz w:val="24"/>
          <w:szCs w:val="24"/>
        </w:rPr>
        <w:t>Rationale: These domains are emp</w:t>
      </w:r>
      <w:r>
        <w:rPr>
          <w:rFonts w:ascii="Calibri" w:eastAsia="Calibri" w:hAnsi="Calibri" w:cs="Calibri"/>
          <w:sz w:val="24"/>
          <w:szCs w:val="24"/>
        </w:rPr>
        <w:t>irically linked to bias in effect estimates; thresholds were set for this review to standardize ratings (Viswanathan et al., 2018).</w:t>
      </w:r>
    </w:p>
    <w:p w14:paraId="5B77CF3F" w14:textId="77777777" w:rsidR="00F57F64" w:rsidRDefault="003E36D7">
      <w:pPr>
        <w:pStyle w:val="Heading2"/>
        <w:keepNext w:val="0"/>
        <w:keepLines w:val="0"/>
        <w:spacing w:before="0" w:after="0"/>
        <w:rPr>
          <w:rFonts w:ascii="Calibri" w:eastAsia="Calibri" w:hAnsi="Calibri" w:cs="Calibri"/>
          <w:b/>
          <w:bCs/>
          <w:i/>
          <w:iCs/>
          <w:sz w:val="24"/>
          <w:szCs w:val="24"/>
        </w:rPr>
      </w:pPr>
      <w:bookmarkStart w:id="6" w:name="_fx3wdtvinq6v" w:colFirst="0" w:colLast="0"/>
      <w:bookmarkEnd w:id="6"/>
      <w:r>
        <w:rPr>
          <w:rFonts w:ascii="Calibri" w:eastAsia="Calibri" w:hAnsi="Calibri" w:cs="Calibri"/>
          <w:b/>
          <w:bCs/>
          <w:i/>
          <w:iCs/>
          <w:sz w:val="24"/>
          <w:szCs w:val="24"/>
        </w:rPr>
        <w:t>JBI Critical Appraisal Checklist for Randomized Controlled Trials (RCTs)</w:t>
      </w:r>
    </w:p>
    <w:p w14:paraId="5B77CF40" w14:textId="77777777" w:rsidR="00F57F64" w:rsidRDefault="003E36D7">
      <w:pPr>
        <w:numPr>
          <w:ilvl w:val="0"/>
          <w:numId w:val="9"/>
        </w:numPr>
        <w:rPr>
          <w:rFonts w:ascii="Calibri" w:eastAsia="Calibri" w:hAnsi="Calibri" w:cs="Calibri"/>
          <w:sz w:val="24"/>
          <w:szCs w:val="24"/>
        </w:rPr>
      </w:pPr>
      <w:r>
        <w:rPr>
          <w:rFonts w:ascii="Calibri" w:eastAsia="Calibri" w:hAnsi="Calibri" w:cs="Calibri"/>
          <w:sz w:val="24"/>
          <w:szCs w:val="24"/>
        </w:rPr>
        <w:t>Number of questions: 13</w:t>
      </w:r>
    </w:p>
    <w:p w14:paraId="5B77CF41" w14:textId="77777777" w:rsidR="00F57F64" w:rsidRDefault="003E36D7">
      <w:pPr>
        <w:numPr>
          <w:ilvl w:val="0"/>
          <w:numId w:val="9"/>
        </w:numPr>
        <w:rPr>
          <w:rFonts w:ascii="Calibri" w:eastAsia="Calibri" w:hAnsi="Calibri" w:cs="Calibri"/>
          <w:sz w:val="24"/>
          <w:szCs w:val="24"/>
        </w:rPr>
      </w:pPr>
      <w:r>
        <w:rPr>
          <w:rFonts w:ascii="Calibri" w:eastAsia="Calibri" w:hAnsi="Calibri" w:cs="Calibri"/>
          <w:sz w:val="24"/>
          <w:szCs w:val="24"/>
        </w:rPr>
        <w:t>Low risk: ≥11 “Yes” respons</w:t>
      </w:r>
      <w:r>
        <w:rPr>
          <w:rFonts w:ascii="Calibri" w:eastAsia="Calibri" w:hAnsi="Calibri" w:cs="Calibri"/>
          <w:sz w:val="24"/>
          <w:szCs w:val="24"/>
        </w:rPr>
        <w:t>es (≤2 “No”/“Unclear”)</w:t>
      </w:r>
    </w:p>
    <w:p w14:paraId="5B77CF42" w14:textId="77777777" w:rsidR="00F57F64" w:rsidRDefault="003E36D7">
      <w:pPr>
        <w:numPr>
          <w:ilvl w:val="0"/>
          <w:numId w:val="9"/>
        </w:numPr>
        <w:rPr>
          <w:rFonts w:ascii="Calibri" w:eastAsia="Calibri" w:hAnsi="Calibri" w:cs="Calibri"/>
          <w:sz w:val="24"/>
          <w:szCs w:val="24"/>
        </w:rPr>
      </w:pPr>
      <w:r>
        <w:rPr>
          <w:rFonts w:ascii="Calibri" w:eastAsia="Calibri" w:hAnsi="Calibri" w:cs="Calibri"/>
          <w:sz w:val="24"/>
          <w:szCs w:val="24"/>
        </w:rPr>
        <w:t>Moderate risk: 9–10 “Yes” responses (3–4 “No”/“Unclear”)</w:t>
      </w:r>
    </w:p>
    <w:p w14:paraId="5B77CF43" w14:textId="77777777" w:rsidR="00F57F64" w:rsidRDefault="003E36D7">
      <w:pPr>
        <w:numPr>
          <w:ilvl w:val="0"/>
          <w:numId w:val="9"/>
        </w:numPr>
        <w:rPr>
          <w:rFonts w:ascii="Calibri" w:eastAsia="Calibri" w:hAnsi="Calibri" w:cs="Calibri"/>
          <w:sz w:val="24"/>
          <w:szCs w:val="24"/>
        </w:rPr>
      </w:pPr>
      <w:r>
        <w:rPr>
          <w:rFonts w:ascii="Calibri" w:eastAsia="Calibri" w:hAnsi="Calibri" w:cs="Calibri"/>
          <w:sz w:val="24"/>
          <w:szCs w:val="24"/>
        </w:rPr>
        <w:t>High risk: ≤8 “Yes” responses (≥5 “No”/“Unclear”)</w:t>
      </w:r>
    </w:p>
    <w:p w14:paraId="5B77CF44" w14:textId="77777777" w:rsidR="00F57F64" w:rsidRDefault="003E36D7">
      <w:pPr>
        <w:numPr>
          <w:ilvl w:val="0"/>
          <w:numId w:val="9"/>
        </w:numPr>
        <w:rPr>
          <w:rFonts w:ascii="Calibri" w:eastAsia="Calibri" w:hAnsi="Calibri" w:cs="Calibri"/>
          <w:sz w:val="24"/>
          <w:szCs w:val="24"/>
        </w:rPr>
      </w:pPr>
      <w:r>
        <w:rPr>
          <w:rFonts w:ascii="Calibri" w:eastAsia="Calibri" w:hAnsi="Calibri" w:cs="Calibri"/>
          <w:sz w:val="24"/>
          <w:szCs w:val="24"/>
        </w:rPr>
        <w:t>Critical domains: Randomization (Q1), allocation concealment (Q2), blinding (Q4–Q7), outcome measurement (Q10–Q11) (Aromataris</w:t>
      </w:r>
      <w:r>
        <w:rPr>
          <w:rFonts w:ascii="Calibri" w:eastAsia="Calibri" w:hAnsi="Calibri" w:cs="Calibri"/>
          <w:sz w:val="24"/>
          <w:szCs w:val="24"/>
        </w:rPr>
        <w:t xml:space="preserve"> et al., 2024; Higgins et al., 2024).</w:t>
      </w:r>
    </w:p>
    <w:p w14:paraId="5B77CF45" w14:textId="77777777" w:rsidR="00F57F64" w:rsidRDefault="003E36D7">
      <w:pPr>
        <w:numPr>
          <w:ilvl w:val="0"/>
          <w:numId w:val="9"/>
        </w:numPr>
        <w:rPr>
          <w:rFonts w:ascii="Calibri" w:eastAsia="Calibri" w:hAnsi="Calibri" w:cs="Calibri"/>
          <w:sz w:val="24"/>
          <w:szCs w:val="24"/>
        </w:rPr>
      </w:pPr>
      <w:r>
        <w:rPr>
          <w:rFonts w:ascii="Calibri" w:eastAsia="Calibri" w:hAnsi="Calibri" w:cs="Calibri"/>
          <w:sz w:val="24"/>
          <w:szCs w:val="24"/>
        </w:rPr>
        <w:lastRenderedPageBreak/>
        <w:t>Rationale: These domains are linked to substantial bias if not addressed; thresholds were supported by systematic reviews, but the exact numbers were set for consistency (Aromataris et al., 2024; Higgins et al., 2024).</w:t>
      </w:r>
    </w:p>
    <w:p w14:paraId="5B77CF46" w14:textId="77777777" w:rsidR="00F57F64" w:rsidRDefault="00F57F64">
      <w:pPr>
        <w:pStyle w:val="Heading2"/>
        <w:keepNext w:val="0"/>
        <w:keepLines w:val="0"/>
        <w:spacing w:before="0" w:after="0"/>
        <w:rPr>
          <w:rFonts w:ascii="Calibri" w:eastAsia="Calibri" w:hAnsi="Calibri" w:cs="Calibri"/>
          <w:color w:val="2F5496"/>
          <w:sz w:val="24"/>
          <w:szCs w:val="24"/>
        </w:rPr>
      </w:pPr>
      <w:bookmarkStart w:id="7" w:name="_yhajvn4y5fjn" w:colFirst="0" w:colLast="0"/>
      <w:bookmarkEnd w:id="7"/>
    </w:p>
    <w:p w14:paraId="5B77CF47" w14:textId="77777777" w:rsidR="00F57F64" w:rsidRDefault="003E36D7">
      <w:pPr>
        <w:pStyle w:val="Heading2"/>
        <w:keepNext w:val="0"/>
        <w:keepLines w:val="0"/>
        <w:spacing w:before="0" w:after="0"/>
        <w:rPr>
          <w:rFonts w:ascii="Calibri" w:eastAsia="Calibri" w:hAnsi="Calibri" w:cs="Calibri"/>
          <w:b/>
          <w:bCs/>
          <w:i/>
          <w:iCs/>
          <w:sz w:val="24"/>
          <w:szCs w:val="24"/>
        </w:rPr>
      </w:pPr>
      <w:bookmarkStart w:id="8" w:name="_ktxzzrv5u2fd" w:colFirst="0" w:colLast="0"/>
      <w:bookmarkEnd w:id="8"/>
      <w:r>
        <w:rPr>
          <w:rFonts w:ascii="Calibri" w:eastAsia="Calibri" w:hAnsi="Calibri" w:cs="Calibri"/>
          <w:b/>
          <w:bCs/>
          <w:i/>
          <w:iCs/>
          <w:sz w:val="24"/>
          <w:szCs w:val="24"/>
        </w:rPr>
        <w:t>JBI Critical Appraisal Checklist for Quasi-Experimental Studies</w:t>
      </w:r>
    </w:p>
    <w:p w14:paraId="5B77CF48" w14:textId="77777777" w:rsidR="00F57F64" w:rsidRDefault="003E36D7">
      <w:pPr>
        <w:numPr>
          <w:ilvl w:val="0"/>
          <w:numId w:val="8"/>
        </w:numPr>
        <w:rPr>
          <w:rFonts w:ascii="Calibri" w:eastAsia="Calibri" w:hAnsi="Calibri" w:cs="Calibri"/>
          <w:sz w:val="24"/>
          <w:szCs w:val="24"/>
        </w:rPr>
      </w:pPr>
      <w:r>
        <w:rPr>
          <w:rFonts w:ascii="Calibri" w:eastAsia="Calibri" w:hAnsi="Calibri" w:cs="Calibri"/>
          <w:sz w:val="24"/>
          <w:szCs w:val="24"/>
        </w:rPr>
        <w:t>Number of questions: 9</w:t>
      </w:r>
    </w:p>
    <w:p w14:paraId="5B77CF49" w14:textId="77777777" w:rsidR="00F57F64" w:rsidRDefault="003E36D7">
      <w:pPr>
        <w:numPr>
          <w:ilvl w:val="0"/>
          <w:numId w:val="8"/>
        </w:numPr>
        <w:rPr>
          <w:rFonts w:ascii="Calibri" w:eastAsia="Calibri" w:hAnsi="Calibri" w:cs="Calibri"/>
          <w:sz w:val="24"/>
          <w:szCs w:val="24"/>
        </w:rPr>
      </w:pPr>
      <w:r>
        <w:rPr>
          <w:rFonts w:ascii="Calibri" w:eastAsia="Calibri" w:hAnsi="Calibri" w:cs="Calibri"/>
          <w:sz w:val="24"/>
          <w:szCs w:val="24"/>
        </w:rPr>
        <w:t>Low risk: ≥9 “Yes” responses (≤1 “No”/“Unclear”)</w:t>
      </w:r>
    </w:p>
    <w:p w14:paraId="5B77CF4A" w14:textId="77777777" w:rsidR="00F57F64" w:rsidRDefault="003E36D7">
      <w:pPr>
        <w:numPr>
          <w:ilvl w:val="0"/>
          <w:numId w:val="8"/>
        </w:numPr>
        <w:rPr>
          <w:rFonts w:ascii="Calibri" w:eastAsia="Calibri" w:hAnsi="Calibri" w:cs="Calibri"/>
          <w:sz w:val="24"/>
          <w:szCs w:val="24"/>
        </w:rPr>
      </w:pPr>
      <w:r>
        <w:rPr>
          <w:rFonts w:ascii="Calibri" w:eastAsia="Calibri" w:hAnsi="Calibri" w:cs="Calibri"/>
          <w:sz w:val="24"/>
          <w:szCs w:val="24"/>
        </w:rPr>
        <w:t>Moderate risk: 7–8 “Yes” responses (2–3 “No”/“Unclear”)</w:t>
      </w:r>
    </w:p>
    <w:p w14:paraId="5B77CF4B" w14:textId="77777777" w:rsidR="00F57F64" w:rsidRDefault="003E36D7">
      <w:pPr>
        <w:numPr>
          <w:ilvl w:val="0"/>
          <w:numId w:val="8"/>
        </w:numPr>
        <w:rPr>
          <w:rFonts w:ascii="Calibri" w:eastAsia="Calibri" w:hAnsi="Calibri" w:cs="Calibri"/>
          <w:sz w:val="24"/>
          <w:szCs w:val="24"/>
        </w:rPr>
      </w:pPr>
      <w:r>
        <w:rPr>
          <w:rFonts w:ascii="Calibri" w:eastAsia="Calibri" w:hAnsi="Calibri" w:cs="Calibri"/>
          <w:sz w:val="24"/>
          <w:szCs w:val="24"/>
        </w:rPr>
        <w:t>High risk: ≤6 “Yes” responses (≥4 “No”/“Unclear”)</w:t>
      </w:r>
    </w:p>
    <w:p w14:paraId="5B77CF4C" w14:textId="77777777" w:rsidR="00F57F64" w:rsidRDefault="003E36D7">
      <w:pPr>
        <w:numPr>
          <w:ilvl w:val="0"/>
          <w:numId w:val="8"/>
        </w:numPr>
        <w:rPr>
          <w:rFonts w:ascii="Calibri" w:eastAsia="Calibri" w:hAnsi="Calibri" w:cs="Calibri"/>
          <w:sz w:val="24"/>
          <w:szCs w:val="24"/>
        </w:rPr>
      </w:pPr>
      <w:r>
        <w:rPr>
          <w:rFonts w:ascii="Calibri" w:eastAsia="Calibri" w:hAnsi="Calibri" w:cs="Calibri"/>
          <w:sz w:val="24"/>
          <w:szCs w:val="24"/>
        </w:rPr>
        <w:t>Critical domains: Confounding control (Q5, Q6), reliable outcome measurement (Q8) (Aromataris et al., 2024).</w:t>
      </w:r>
    </w:p>
    <w:p w14:paraId="5B77CF4D" w14:textId="77777777" w:rsidR="00F57F64" w:rsidRDefault="003E36D7">
      <w:pPr>
        <w:numPr>
          <w:ilvl w:val="0"/>
          <w:numId w:val="8"/>
        </w:numPr>
        <w:rPr>
          <w:rFonts w:ascii="Calibri" w:eastAsia="Calibri" w:hAnsi="Calibri" w:cs="Calibri"/>
          <w:sz w:val="24"/>
          <w:szCs w:val="24"/>
        </w:rPr>
      </w:pPr>
      <w:r>
        <w:rPr>
          <w:rFonts w:ascii="Calibri" w:eastAsia="Calibri" w:hAnsi="Calibri" w:cs="Calibri"/>
          <w:sz w:val="24"/>
          <w:szCs w:val="24"/>
        </w:rPr>
        <w:t>Rationale: Emphasis on confounding and measurement validity matches JBI and AHRQ guidance; thresholds are set for internal consistency (Viswanathan</w:t>
      </w:r>
      <w:r>
        <w:rPr>
          <w:rFonts w:ascii="Calibri" w:eastAsia="Calibri" w:hAnsi="Calibri" w:cs="Calibri"/>
          <w:sz w:val="24"/>
          <w:szCs w:val="24"/>
        </w:rPr>
        <w:t xml:space="preserve"> et al., 2018).</w:t>
      </w:r>
    </w:p>
    <w:p w14:paraId="5B77CF4E" w14:textId="77777777" w:rsidR="00F57F64" w:rsidRDefault="003E36D7">
      <w:pPr>
        <w:pStyle w:val="Heading2"/>
        <w:keepNext w:val="0"/>
        <w:keepLines w:val="0"/>
        <w:spacing w:before="0" w:after="0"/>
        <w:rPr>
          <w:rFonts w:ascii="Calibri" w:eastAsia="Calibri" w:hAnsi="Calibri" w:cs="Calibri"/>
          <w:b/>
          <w:bCs/>
          <w:i/>
          <w:iCs/>
          <w:sz w:val="24"/>
          <w:szCs w:val="24"/>
        </w:rPr>
      </w:pPr>
      <w:bookmarkStart w:id="9" w:name="_y62fsps6izh3" w:colFirst="0" w:colLast="0"/>
      <w:bookmarkEnd w:id="9"/>
      <w:r>
        <w:rPr>
          <w:rFonts w:ascii="Calibri" w:eastAsia="Calibri" w:hAnsi="Calibri" w:cs="Calibri"/>
          <w:b/>
          <w:bCs/>
          <w:i/>
          <w:iCs/>
          <w:sz w:val="24"/>
          <w:szCs w:val="24"/>
        </w:rPr>
        <w:t>JBI Checklist for Analytical Cross-Sectional Studies</w:t>
      </w:r>
    </w:p>
    <w:p w14:paraId="5B77CF4F" w14:textId="77777777" w:rsidR="00F57F64" w:rsidRDefault="003E36D7">
      <w:pPr>
        <w:numPr>
          <w:ilvl w:val="0"/>
          <w:numId w:val="1"/>
        </w:numPr>
        <w:rPr>
          <w:rFonts w:ascii="Calibri" w:eastAsia="Calibri" w:hAnsi="Calibri" w:cs="Calibri"/>
          <w:sz w:val="24"/>
          <w:szCs w:val="24"/>
        </w:rPr>
      </w:pPr>
      <w:r>
        <w:rPr>
          <w:rFonts w:ascii="Calibri" w:eastAsia="Calibri" w:hAnsi="Calibri" w:cs="Calibri"/>
          <w:sz w:val="24"/>
          <w:szCs w:val="24"/>
        </w:rPr>
        <w:t>Number of questions: 8</w:t>
      </w:r>
    </w:p>
    <w:p w14:paraId="5B77CF50" w14:textId="77777777" w:rsidR="00F57F64" w:rsidRDefault="003E36D7">
      <w:pPr>
        <w:numPr>
          <w:ilvl w:val="0"/>
          <w:numId w:val="1"/>
        </w:numPr>
        <w:rPr>
          <w:rFonts w:ascii="Calibri" w:eastAsia="Calibri" w:hAnsi="Calibri" w:cs="Calibri"/>
          <w:sz w:val="24"/>
          <w:szCs w:val="24"/>
        </w:rPr>
      </w:pPr>
      <w:r>
        <w:rPr>
          <w:rFonts w:ascii="Calibri" w:eastAsia="Calibri" w:hAnsi="Calibri" w:cs="Calibri"/>
          <w:sz w:val="24"/>
          <w:szCs w:val="24"/>
        </w:rPr>
        <w:t>Low risk: ≥7 “Yes” responses (≤1 “No”/“Unclear”)</w:t>
      </w:r>
    </w:p>
    <w:p w14:paraId="5B77CF51" w14:textId="77777777" w:rsidR="00F57F64" w:rsidRDefault="003E36D7">
      <w:pPr>
        <w:numPr>
          <w:ilvl w:val="0"/>
          <w:numId w:val="1"/>
        </w:numPr>
        <w:rPr>
          <w:rFonts w:ascii="Calibri" w:eastAsia="Calibri" w:hAnsi="Calibri" w:cs="Calibri"/>
          <w:sz w:val="24"/>
          <w:szCs w:val="24"/>
        </w:rPr>
      </w:pPr>
      <w:r>
        <w:rPr>
          <w:rFonts w:ascii="Calibri" w:eastAsia="Calibri" w:hAnsi="Calibri" w:cs="Calibri"/>
          <w:sz w:val="24"/>
          <w:szCs w:val="24"/>
        </w:rPr>
        <w:t>Moderate risk: 5–6 “Yes” responses (2–3 “No”/“Unclear”)</w:t>
      </w:r>
    </w:p>
    <w:p w14:paraId="5B77CF52" w14:textId="77777777" w:rsidR="00F57F64" w:rsidRDefault="003E36D7">
      <w:pPr>
        <w:numPr>
          <w:ilvl w:val="0"/>
          <w:numId w:val="1"/>
        </w:numPr>
        <w:rPr>
          <w:rFonts w:ascii="Calibri" w:eastAsia="Calibri" w:hAnsi="Calibri" w:cs="Calibri"/>
          <w:sz w:val="24"/>
          <w:szCs w:val="24"/>
        </w:rPr>
      </w:pPr>
      <w:r>
        <w:rPr>
          <w:rFonts w:ascii="Calibri" w:eastAsia="Calibri" w:hAnsi="Calibri" w:cs="Calibri"/>
          <w:sz w:val="24"/>
          <w:szCs w:val="24"/>
        </w:rPr>
        <w:t>High risk: ≤4 “Yes” responses (≥4 “No”/“Unclear”)</w:t>
      </w:r>
    </w:p>
    <w:p w14:paraId="5B77CF53" w14:textId="77777777" w:rsidR="00F57F64" w:rsidRDefault="003E36D7">
      <w:pPr>
        <w:numPr>
          <w:ilvl w:val="0"/>
          <w:numId w:val="1"/>
        </w:numPr>
        <w:rPr>
          <w:rFonts w:ascii="Calibri" w:eastAsia="Calibri" w:hAnsi="Calibri" w:cs="Calibri"/>
          <w:sz w:val="24"/>
          <w:szCs w:val="24"/>
        </w:rPr>
      </w:pPr>
      <w:r>
        <w:rPr>
          <w:rFonts w:ascii="Calibri" w:eastAsia="Calibri" w:hAnsi="Calibri" w:cs="Calibri"/>
          <w:sz w:val="24"/>
          <w:szCs w:val="24"/>
        </w:rPr>
        <w:t xml:space="preserve">Critical </w:t>
      </w:r>
      <w:r>
        <w:rPr>
          <w:rFonts w:ascii="Calibri" w:eastAsia="Calibri" w:hAnsi="Calibri" w:cs="Calibri"/>
          <w:sz w:val="24"/>
          <w:szCs w:val="24"/>
        </w:rPr>
        <w:t>domains: Inclusion criteria (Q1), valid/reliable measurement (Q3, Q7), confounder identification/control (Q5, Q6) (Aromataris et al., 2024).</w:t>
      </w:r>
    </w:p>
    <w:p w14:paraId="5B77CF54" w14:textId="77777777" w:rsidR="00F57F64" w:rsidRDefault="003E36D7">
      <w:pPr>
        <w:numPr>
          <w:ilvl w:val="0"/>
          <w:numId w:val="1"/>
        </w:numPr>
        <w:rPr>
          <w:rFonts w:ascii="Calibri" w:eastAsia="Calibri" w:hAnsi="Calibri" w:cs="Calibri"/>
          <w:sz w:val="24"/>
          <w:szCs w:val="24"/>
        </w:rPr>
      </w:pPr>
      <w:r>
        <w:rPr>
          <w:rFonts w:ascii="Calibri" w:eastAsia="Calibri" w:hAnsi="Calibri" w:cs="Calibri"/>
          <w:sz w:val="24"/>
          <w:szCs w:val="24"/>
        </w:rPr>
        <w:t>Rationale: No universal cut-offs exist; these were set for consistency and transparency (Aromataris et al., 2024).</w:t>
      </w:r>
    </w:p>
    <w:p w14:paraId="5B77CF55" w14:textId="77777777" w:rsidR="00F57F64" w:rsidRDefault="003E36D7">
      <w:pPr>
        <w:pStyle w:val="Heading2"/>
        <w:keepNext w:val="0"/>
        <w:keepLines w:val="0"/>
        <w:spacing w:before="0" w:after="0"/>
        <w:rPr>
          <w:rFonts w:ascii="Calibri" w:eastAsia="Calibri" w:hAnsi="Calibri" w:cs="Calibri"/>
          <w:b/>
          <w:bCs/>
          <w:i/>
          <w:iCs/>
          <w:sz w:val="24"/>
          <w:szCs w:val="24"/>
        </w:rPr>
      </w:pPr>
      <w:bookmarkStart w:id="10" w:name="_o6i0g2rptnur" w:colFirst="0" w:colLast="0"/>
      <w:bookmarkEnd w:id="10"/>
      <w:r>
        <w:rPr>
          <w:rFonts w:ascii="Calibri" w:eastAsia="Calibri" w:hAnsi="Calibri" w:cs="Calibri"/>
          <w:b/>
          <w:bCs/>
          <w:i/>
          <w:iCs/>
          <w:sz w:val="24"/>
          <w:szCs w:val="24"/>
        </w:rPr>
        <w:t>JBI Checklist for Case Reports</w:t>
      </w:r>
    </w:p>
    <w:p w14:paraId="5B77CF56" w14:textId="77777777" w:rsidR="00F57F64" w:rsidRDefault="003E36D7">
      <w:pPr>
        <w:numPr>
          <w:ilvl w:val="0"/>
          <w:numId w:val="10"/>
        </w:numPr>
        <w:rPr>
          <w:rFonts w:ascii="Calibri" w:eastAsia="Calibri" w:hAnsi="Calibri" w:cs="Calibri"/>
          <w:sz w:val="24"/>
          <w:szCs w:val="24"/>
        </w:rPr>
      </w:pPr>
      <w:r>
        <w:rPr>
          <w:rFonts w:ascii="Calibri" w:eastAsia="Calibri" w:hAnsi="Calibri" w:cs="Calibri"/>
          <w:sz w:val="24"/>
          <w:szCs w:val="24"/>
        </w:rPr>
        <w:t>Number of questions: 8</w:t>
      </w:r>
    </w:p>
    <w:p w14:paraId="5B77CF57" w14:textId="77777777" w:rsidR="00F57F64" w:rsidRDefault="003E36D7">
      <w:pPr>
        <w:numPr>
          <w:ilvl w:val="0"/>
          <w:numId w:val="10"/>
        </w:numPr>
        <w:rPr>
          <w:rFonts w:ascii="Calibri" w:eastAsia="Calibri" w:hAnsi="Calibri" w:cs="Calibri"/>
          <w:sz w:val="24"/>
          <w:szCs w:val="24"/>
        </w:rPr>
      </w:pPr>
      <w:r>
        <w:rPr>
          <w:rFonts w:ascii="Calibri" w:eastAsia="Calibri" w:hAnsi="Calibri" w:cs="Calibri"/>
          <w:sz w:val="24"/>
          <w:szCs w:val="24"/>
        </w:rPr>
        <w:t>Low risk: ≥7 “Yes” responses</w:t>
      </w:r>
    </w:p>
    <w:p w14:paraId="5B77CF58" w14:textId="77777777" w:rsidR="00F57F64" w:rsidRDefault="003E36D7">
      <w:pPr>
        <w:numPr>
          <w:ilvl w:val="0"/>
          <w:numId w:val="10"/>
        </w:numPr>
        <w:rPr>
          <w:rFonts w:ascii="Calibri" w:eastAsia="Calibri" w:hAnsi="Calibri" w:cs="Calibri"/>
          <w:sz w:val="24"/>
          <w:szCs w:val="24"/>
        </w:rPr>
      </w:pPr>
      <w:r>
        <w:rPr>
          <w:rFonts w:ascii="Calibri" w:eastAsia="Calibri" w:hAnsi="Calibri" w:cs="Calibri"/>
          <w:sz w:val="24"/>
          <w:szCs w:val="24"/>
        </w:rPr>
        <w:t>Moderate risk: 5–6 “Yes” responses</w:t>
      </w:r>
    </w:p>
    <w:p w14:paraId="5B77CF59" w14:textId="77777777" w:rsidR="00F57F64" w:rsidRDefault="003E36D7">
      <w:pPr>
        <w:numPr>
          <w:ilvl w:val="0"/>
          <w:numId w:val="10"/>
        </w:numPr>
        <w:rPr>
          <w:rFonts w:ascii="Calibri" w:eastAsia="Calibri" w:hAnsi="Calibri" w:cs="Calibri"/>
          <w:sz w:val="24"/>
          <w:szCs w:val="24"/>
        </w:rPr>
      </w:pPr>
      <w:r>
        <w:rPr>
          <w:rFonts w:ascii="Calibri" w:eastAsia="Calibri" w:hAnsi="Calibri" w:cs="Calibri"/>
          <w:sz w:val="24"/>
          <w:szCs w:val="24"/>
        </w:rPr>
        <w:t>High risk: ≤4 “Yes” responses</w:t>
      </w:r>
    </w:p>
    <w:p w14:paraId="5B77CF5A" w14:textId="77777777" w:rsidR="00F57F64" w:rsidRDefault="003E36D7">
      <w:pPr>
        <w:numPr>
          <w:ilvl w:val="0"/>
          <w:numId w:val="10"/>
        </w:numPr>
        <w:rPr>
          <w:rFonts w:ascii="Calibri" w:eastAsia="Calibri" w:hAnsi="Calibri" w:cs="Calibri"/>
          <w:sz w:val="24"/>
          <w:szCs w:val="24"/>
        </w:rPr>
      </w:pPr>
      <w:r>
        <w:rPr>
          <w:rFonts w:ascii="Calibri" w:eastAsia="Calibri" w:hAnsi="Calibri" w:cs="Calibri"/>
          <w:sz w:val="24"/>
          <w:szCs w:val="24"/>
        </w:rPr>
        <w:t>Critical domains: Diagnostic certainty (Q4), intervention clarity (Q5), follow-up completeness (Q6, Q7) (Aromataris et al., 2024).</w:t>
      </w:r>
    </w:p>
    <w:p w14:paraId="5B77CF5B" w14:textId="77777777" w:rsidR="00F57F64" w:rsidRDefault="003E36D7">
      <w:pPr>
        <w:numPr>
          <w:ilvl w:val="0"/>
          <w:numId w:val="10"/>
        </w:numPr>
        <w:rPr>
          <w:rFonts w:ascii="Calibri" w:eastAsia="Calibri" w:hAnsi="Calibri" w:cs="Calibri"/>
          <w:sz w:val="24"/>
          <w:szCs w:val="24"/>
        </w:rPr>
      </w:pPr>
      <w:r>
        <w:rPr>
          <w:rFonts w:ascii="Calibri" w:eastAsia="Calibri" w:hAnsi="Calibri" w:cs="Calibri"/>
          <w:sz w:val="24"/>
          <w:szCs w:val="24"/>
        </w:rPr>
        <w:t>Rationale: Thresholds were based on published practice but were ultimately arbitrary to promote reproducibility (Aromataris e</w:t>
      </w:r>
      <w:r>
        <w:rPr>
          <w:rFonts w:ascii="Calibri" w:eastAsia="Calibri" w:hAnsi="Calibri" w:cs="Calibri"/>
          <w:sz w:val="24"/>
          <w:szCs w:val="24"/>
        </w:rPr>
        <w:t>t al., 2024).</w:t>
      </w:r>
    </w:p>
    <w:p w14:paraId="5B77CF5C" w14:textId="77777777" w:rsidR="00F57F64" w:rsidRDefault="003E36D7">
      <w:pPr>
        <w:pStyle w:val="Heading2"/>
        <w:keepNext w:val="0"/>
        <w:keepLines w:val="0"/>
        <w:spacing w:before="0" w:after="0"/>
        <w:rPr>
          <w:rFonts w:ascii="Calibri" w:eastAsia="Calibri" w:hAnsi="Calibri" w:cs="Calibri"/>
          <w:b/>
          <w:bCs/>
          <w:i/>
          <w:iCs/>
          <w:sz w:val="24"/>
          <w:szCs w:val="24"/>
        </w:rPr>
      </w:pPr>
      <w:bookmarkStart w:id="11" w:name="_72d1bcifcido" w:colFirst="0" w:colLast="0"/>
      <w:bookmarkEnd w:id="11"/>
      <w:r>
        <w:rPr>
          <w:rFonts w:ascii="Calibri" w:eastAsia="Calibri" w:hAnsi="Calibri" w:cs="Calibri"/>
          <w:b/>
          <w:bCs/>
          <w:i/>
          <w:iCs/>
          <w:sz w:val="24"/>
          <w:szCs w:val="24"/>
        </w:rPr>
        <w:t>JBI Critical Appraisal Checklist for Qualitative Research</w:t>
      </w:r>
    </w:p>
    <w:p w14:paraId="5B77CF5D" w14:textId="77777777" w:rsidR="00F57F64" w:rsidRDefault="003E36D7">
      <w:pPr>
        <w:numPr>
          <w:ilvl w:val="0"/>
          <w:numId w:val="5"/>
        </w:numPr>
        <w:rPr>
          <w:rFonts w:ascii="Calibri" w:eastAsia="Calibri" w:hAnsi="Calibri" w:cs="Calibri"/>
          <w:sz w:val="24"/>
          <w:szCs w:val="24"/>
        </w:rPr>
      </w:pPr>
      <w:r>
        <w:rPr>
          <w:rFonts w:ascii="Calibri" w:eastAsia="Calibri" w:hAnsi="Calibri" w:cs="Calibri"/>
          <w:sz w:val="24"/>
          <w:szCs w:val="24"/>
        </w:rPr>
        <w:t>Number of questions: 10</w:t>
      </w:r>
    </w:p>
    <w:p w14:paraId="5B77CF5E" w14:textId="77777777" w:rsidR="00F57F64" w:rsidRDefault="003E36D7">
      <w:pPr>
        <w:numPr>
          <w:ilvl w:val="0"/>
          <w:numId w:val="5"/>
        </w:numPr>
        <w:rPr>
          <w:rFonts w:ascii="Calibri" w:eastAsia="Calibri" w:hAnsi="Calibri" w:cs="Calibri"/>
          <w:sz w:val="24"/>
          <w:szCs w:val="24"/>
        </w:rPr>
      </w:pPr>
      <w:r>
        <w:rPr>
          <w:rFonts w:ascii="Calibri" w:eastAsia="Calibri" w:hAnsi="Calibri" w:cs="Calibri"/>
          <w:sz w:val="24"/>
          <w:szCs w:val="24"/>
        </w:rPr>
        <w:t>Low risk: ≥9 “Yes” responses</w:t>
      </w:r>
    </w:p>
    <w:p w14:paraId="5B77CF5F" w14:textId="77777777" w:rsidR="00F57F64" w:rsidRDefault="003E36D7">
      <w:pPr>
        <w:numPr>
          <w:ilvl w:val="0"/>
          <w:numId w:val="5"/>
        </w:numPr>
        <w:rPr>
          <w:rFonts w:ascii="Calibri" w:eastAsia="Calibri" w:hAnsi="Calibri" w:cs="Calibri"/>
          <w:sz w:val="24"/>
          <w:szCs w:val="24"/>
        </w:rPr>
      </w:pPr>
      <w:r>
        <w:rPr>
          <w:rFonts w:ascii="Calibri" w:eastAsia="Calibri" w:hAnsi="Calibri" w:cs="Calibri"/>
          <w:sz w:val="24"/>
          <w:szCs w:val="24"/>
        </w:rPr>
        <w:t>Moderate risk: 6–8 “Yes” responses</w:t>
      </w:r>
    </w:p>
    <w:p w14:paraId="5B77CF60" w14:textId="77777777" w:rsidR="00F57F64" w:rsidRDefault="003E36D7">
      <w:pPr>
        <w:numPr>
          <w:ilvl w:val="0"/>
          <w:numId w:val="5"/>
        </w:numPr>
        <w:rPr>
          <w:rFonts w:ascii="Calibri" w:eastAsia="Calibri" w:hAnsi="Calibri" w:cs="Calibri"/>
          <w:sz w:val="24"/>
          <w:szCs w:val="24"/>
        </w:rPr>
      </w:pPr>
      <w:r>
        <w:rPr>
          <w:rFonts w:ascii="Calibri" w:eastAsia="Calibri" w:hAnsi="Calibri" w:cs="Calibri"/>
          <w:sz w:val="24"/>
          <w:szCs w:val="24"/>
        </w:rPr>
        <w:t>High risk: ≤5 “Yes” responses</w:t>
      </w:r>
    </w:p>
    <w:p w14:paraId="5B77CF61" w14:textId="77777777" w:rsidR="00F57F64" w:rsidRDefault="003E36D7">
      <w:pPr>
        <w:numPr>
          <w:ilvl w:val="0"/>
          <w:numId w:val="5"/>
        </w:numPr>
        <w:rPr>
          <w:rFonts w:ascii="Calibri" w:eastAsia="Calibri" w:hAnsi="Calibri" w:cs="Calibri"/>
          <w:sz w:val="24"/>
          <w:szCs w:val="24"/>
        </w:rPr>
      </w:pPr>
      <w:r>
        <w:rPr>
          <w:rFonts w:ascii="Calibri" w:eastAsia="Calibri" w:hAnsi="Calibri" w:cs="Calibri"/>
          <w:sz w:val="24"/>
          <w:szCs w:val="24"/>
        </w:rPr>
        <w:t>Critical domains: Methodological congruity (Q1–Q5), reflexivity (Q</w:t>
      </w:r>
      <w:r>
        <w:rPr>
          <w:rFonts w:ascii="Calibri" w:eastAsia="Calibri" w:hAnsi="Calibri" w:cs="Calibri"/>
          <w:sz w:val="24"/>
          <w:szCs w:val="24"/>
        </w:rPr>
        <w:t>6,Q7), representation of participant voices (Q8) (Aromataris et al., 2024).</w:t>
      </w:r>
    </w:p>
    <w:p w14:paraId="5B77CF62" w14:textId="77777777" w:rsidR="00F57F64" w:rsidRDefault="003E36D7">
      <w:pPr>
        <w:numPr>
          <w:ilvl w:val="0"/>
          <w:numId w:val="5"/>
        </w:numPr>
        <w:rPr>
          <w:rFonts w:ascii="Calibri" w:eastAsia="Calibri" w:hAnsi="Calibri" w:cs="Calibri"/>
          <w:sz w:val="24"/>
          <w:szCs w:val="24"/>
        </w:rPr>
      </w:pPr>
      <w:r>
        <w:rPr>
          <w:rFonts w:ascii="Calibri" w:eastAsia="Calibri" w:hAnsi="Calibri" w:cs="Calibri"/>
          <w:sz w:val="24"/>
          <w:szCs w:val="24"/>
        </w:rPr>
        <w:lastRenderedPageBreak/>
        <w:t>Rationale: Numeric thresholds were set for this review to improve consistency; could not find standard in the literature (Aromataris et al., 2024).</w:t>
      </w:r>
    </w:p>
    <w:p w14:paraId="5B77CF63" w14:textId="77777777" w:rsidR="00F57F64" w:rsidRDefault="003E36D7">
      <w:pPr>
        <w:pStyle w:val="Heading2"/>
        <w:keepNext w:val="0"/>
        <w:keepLines w:val="0"/>
        <w:spacing w:before="0" w:after="0"/>
        <w:rPr>
          <w:rFonts w:ascii="Calibri" w:eastAsia="Calibri" w:hAnsi="Calibri" w:cs="Calibri"/>
          <w:b/>
          <w:bCs/>
          <w:i/>
          <w:iCs/>
          <w:sz w:val="24"/>
          <w:szCs w:val="24"/>
        </w:rPr>
      </w:pPr>
      <w:bookmarkStart w:id="12" w:name="_qkd0hyvhux9z" w:colFirst="0" w:colLast="0"/>
      <w:bookmarkEnd w:id="12"/>
      <w:r>
        <w:rPr>
          <w:rFonts w:ascii="Calibri" w:eastAsia="Calibri" w:hAnsi="Calibri" w:cs="Calibri"/>
          <w:b/>
          <w:bCs/>
          <w:i/>
          <w:iCs/>
          <w:sz w:val="24"/>
          <w:szCs w:val="24"/>
        </w:rPr>
        <w:t>JBI Critical Appraisal Checklist</w:t>
      </w:r>
      <w:r>
        <w:rPr>
          <w:rFonts w:ascii="Calibri" w:eastAsia="Calibri" w:hAnsi="Calibri" w:cs="Calibri"/>
          <w:b/>
          <w:bCs/>
          <w:i/>
          <w:iCs/>
          <w:sz w:val="24"/>
          <w:szCs w:val="24"/>
        </w:rPr>
        <w:t xml:space="preserve"> for Diagnostic Test Accuracy Studies</w:t>
      </w:r>
    </w:p>
    <w:p w14:paraId="5B77CF64" w14:textId="77777777" w:rsidR="00F57F64" w:rsidRDefault="003E36D7">
      <w:pPr>
        <w:numPr>
          <w:ilvl w:val="0"/>
          <w:numId w:val="4"/>
        </w:numPr>
        <w:rPr>
          <w:rFonts w:ascii="Calibri" w:eastAsia="Calibri" w:hAnsi="Calibri" w:cs="Calibri"/>
          <w:sz w:val="24"/>
          <w:szCs w:val="24"/>
        </w:rPr>
      </w:pPr>
      <w:r>
        <w:rPr>
          <w:rFonts w:ascii="Calibri" w:eastAsia="Calibri" w:hAnsi="Calibri" w:cs="Calibri"/>
          <w:sz w:val="24"/>
          <w:szCs w:val="24"/>
        </w:rPr>
        <w:t>Number of questions: 10</w:t>
      </w:r>
    </w:p>
    <w:p w14:paraId="5B77CF65" w14:textId="77777777" w:rsidR="00F57F64" w:rsidRDefault="003E36D7">
      <w:pPr>
        <w:numPr>
          <w:ilvl w:val="0"/>
          <w:numId w:val="4"/>
        </w:numPr>
        <w:rPr>
          <w:rFonts w:ascii="Calibri" w:eastAsia="Calibri" w:hAnsi="Calibri" w:cs="Calibri"/>
          <w:sz w:val="24"/>
          <w:szCs w:val="24"/>
        </w:rPr>
      </w:pPr>
      <w:r>
        <w:rPr>
          <w:rFonts w:ascii="Calibri" w:eastAsia="Calibri" w:hAnsi="Calibri" w:cs="Calibri"/>
          <w:sz w:val="24"/>
          <w:szCs w:val="24"/>
        </w:rPr>
        <w:t>Low risk: ≥9 “Yes” responses</w:t>
      </w:r>
    </w:p>
    <w:p w14:paraId="5B77CF66" w14:textId="77777777" w:rsidR="00F57F64" w:rsidRDefault="003E36D7">
      <w:pPr>
        <w:numPr>
          <w:ilvl w:val="0"/>
          <w:numId w:val="4"/>
        </w:numPr>
        <w:rPr>
          <w:rFonts w:ascii="Calibri" w:eastAsia="Calibri" w:hAnsi="Calibri" w:cs="Calibri"/>
          <w:sz w:val="24"/>
          <w:szCs w:val="24"/>
        </w:rPr>
      </w:pPr>
      <w:r>
        <w:rPr>
          <w:rFonts w:ascii="Calibri" w:eastAsia="Calibri" w:hAnsi="Calibri" w:cs="Calibri"/>
          <w:sz w:val="24"/>
          <w:szCs w:val="24"/>
        </w:rPr>
        <w:t>Moderate risk: 6–8 “Yes” responses</w:t>
      </w:r>
    </w:p>
    <w:p w14:paraId="5B77CF67" w14:textId="77777777" w:rsidR="00F57F64" w:rsidRDefault="003E36D7">
      <w:pPr>
        <w:numPr>
          <w:ilvl w:val="0"/>
          <w:numId w:val="4"/>
        </w:numPr>
        <w:rPr>
          <w:rFonts w:ascii="Calibri" w:eastAsia="Calibri" w:hAnsi="Calibri" w:cs="Calibri"/>
          <w:sz w:val="24"/>
          <w:szCs w:val="24"/>
        </w:rPr>
      </w:pPr>
      <w:r>
        <w:rPr>
          <w:rFonts w:ascii="Calibri" w:eastAsia="Calibri" w:hAnsi="Calibri" w:cs="Calibri"/>
          <w:sz w:val="24"/>
          <w:szCs w:val="24"/>
        </w:rPr>
        <w:t>High risk: ≤5 “Yes” responses</w:t>
      </w:r>
    </w:p>
    <w:p w14:paraId="5B77CF68" w14:textId="77777777" w:rsidR="00F57F64" w:rsidRDefault="003E36D7">
      <w:pPr>
        <w:numPr>
          <w:ilvl w:val="0"/>
          <w:numId w:val="4"/>
        </w:numPr>
        <w:rPr>
          <w:rFonts w:ascii="Calibri" w:eastAsia="Calibri" w:hAnsi="Calibri" w:cs="Calibri"/>
          <w:sz w:val="24"/>
          <w:szCs w:val="24"/>
        </w:rPr>
      </w:pPr>
      <w:r>
        <w:rPr>
          <w:rFonts w:ascii="Calibri" w:eastAsia="Calibri" w:hAnsi="Calibri" w:cs="Calibri"/>
          <w:sz w:val="24"/>
          <w:szCs w:val="24"/>
        </w:rPr>
        <w:t>Critical domains: Patient selection (Q1), blinding (Q4, Q7), valid reference standard (Q6) (Aromataris et al., 2024).</w:t>
      </w:r>
    </w:p>
    <w:p w14:paraId="5B77CF69" w14:textId="77777777" w:rsidR="00F57F64" w:rsidRDefault="003E36D7">
      <w:pPr>
        <w:numPr>
          <w:ilvl w:val="0"/>
          <w:numId w:val="4"/>
        </w:numPr>
        <w:rPr>
          <w:rFonts w:ascii="Calibri" w:eastAsia="Calibri" w:hAnsi="Calibri" w:cs="Calibri"/>
          <w:sz w:val="24"/>
          <w:szCs w:val="24"/>
        </w:rPr>
      </w:pPr>
      <w:r>
        <w:rPr>
          <w:rFonts w:ascii="Calibri" w:eastAsia="Calibri" w:hAnsi="Calibri" w:cs="Calibri"/>
          <w:sz w:val="24"/>
          <w:szCs w:val="24"/>
        </w:rPr>
        <w:t>Rationale: Cut-offs are set for this review to maintain uniformity; no consensus thresholds are available (Aromataris et al., 2024).</w:t>
      </w:r>
    </w:p>
    <w:p w14:paraId="5B77CF6A" w14:textId="77777777" w:rsidR="00F57F64" w:rsidRDefault="003E36D7">
      <w:pPr>
        <w:pStyle w:val="Heading2"/>
        <w:keepNext w:val="0"/>
        <w:keepLines w:val="0"/>
        <w:spacing w:before="0" w:after="0"/>
        <w:rPr>
          <w:rFonts w:ascii="Calibri" w:eastAsia="Calibri" w:hAnsi="Calibri" w:cs="Calibri"/>
          <w:b/>
          <w:bCs/>
          <w:sz w:val="24"/>
          <w:szCs w:val="24"/>
        </w:rPr>
      </w:pPr>
      <w:bookmarkStart w:id="13" w:name="_mdctu8uf9gg3" w:colFirst="0" w:colLast="0"/>
      <w:bookmarkEnd w:id="13"/>
      <w:r>
        <w:rPr>
          <w:rFonts w:ascii="Calibri" w:eastAsia="Calibri" w:hAnsi="Calibri" w:cs="Calibri"/>
          <w:b/>
          <w:bCs/>
          <w:sz w:val="24"/>
          <w:szCs w:val="24"/>
        </w:rPr>
        <w:t>Prior</w:t>
      </w:r>
      <w:r>
        <w:rPr>
          <w:rFonts w:ascii="Calibri" w:eastAsia="Calibri" w:hAnsi="Calibri" w:cs="Calibri"/>
          <w:b/>
          <w:bCs/>
          <w:sz w:val="24"/>
          <w:szCs w:val="24"/>
        </w:rPr>
        <w:t>itization and Override of Critical Domains</w:t>
      </w:r>
    </w:p>
    <w:p w14:paraId="5B77CF6B" w14:textId="77777777" w:rsidR="00F57F64" w:rsidRDefault="003E36D7">
      <w:pPr>
        <w:numPr>
          <w:ilvl w:val="0"/>
          <w:numId w:val="6"/>
        </w:numPr>
        <w:rPr>
          <w:rFonts w:ascii="Calibri" w:eastAsia="Calibri" w:hAnsi="Calibri" w:cs="Calibri"/>
          <w:sz w:val="24"/>
          <w:szCs w:val="24"/>
        </w:rPr>
      </w:pPr>
      <w:r>
        <w:rPr>
          <w:rFonts w:ascii="Calibri" w:eastAsia="Calibri" w:hAnsi="Calibri" w:cs="Calibri"/>
          <w:sz w:val="24"/>
          <w:szCs w:val="24"/>
        </w:rPr>
        <w:t xml:space="preserve">Numeric thresholds guided initial classification. However, a “No” or “Unclear” in a critical domain (as specified above for each tool) did override the overall score and resulted in a high risk rating, regardless </w:t>
      </w:r>
      <w:r>
        <w:rPr>
          <w:rFonts w:ascii="Calibri" w:eastAsia="Calibri" w:hAnsi="Calibri" w:cs="Calibri"/>
          <w:sz w:val="24"/>
          <w:szCs w:val="24"/>
        </w:rPr>
        <w:t>of the total count (Viswanathan et al., 2018; Higgins et al., 2024).</w:t>
      </w:r>
    </w:p>
    <w:p w14:paraId="5B77CF6C" w14:textId="77777777" w:rsidR="00F57F64" w:rsidRDefault="003E36D7">
      <w:pPr>
        <w:numPr>
          <w:ilvl w:val="0"/>
          <w:numId w:val="6"/>
        </w:numPr>
        <w:rPr>
          <w:rFonts w:ascii="Calibri" w:eastAsia="Calibri" w:hAnsi="Calibri" w:cs="Calibri"/>
          <w:sz w:val="24"/>
          <w:szCs w:val="24"/>
        </w:rPr>
      </w:pPr>
      <w:r>
        <w:rPr>
          <w:rFonts w:ascii="Calibri" w:eastAsia="Calibri" w:hAnsi="Calibri" w:cs="Calibri"/>
          <w:sz w:val="24"/>
          <w:szCs w:val="24"/>
        </w:rPr>
        <w:t>This override was justified because a single critical flaw can substantially bias results, as supported by AHRQ, Cochrane, and JBI guidance (Viswanathan et al., 2018; Higgins et al., 2024</w:t>
      </w:r>
      <w:r>
        <w:rPr>
          <w:rFonts w:ascii="Calibri" w:eastAsia="Calibri" w:hAnsi="Calibri" w:cs="Calibri"/>
          <w:sz w:val="24"/>
          <w:szCs w:val="24"/>
        </w:rPr>
        <w:t>; Aromataris et al., 2024).</w:t>
      </w:r>
    </w:p>
    <w:p w14:paraId="5B77CF6D" w14:textId="77777777" w:rsidR="00F57F64" w:rsidRDefault="00F57F64">
      <w:pPr>
        <w:pStyle w:val="Heading2"/>
        <w:keepNext w:val="0"/>
        <w:keepLines w:val="0"/>
        <w:spacing w:before="0" w:after="0"/>
        <w:rPr>
          <w:rFonts w:ascii="Calibri" w:eastAsia="Calibri" w:hAnsi="Calibri" w:cs="Calibri"/>
          <w:b/>
          <w:bCs/>
          <w:color w:val="2F5496"/>
          <w:sz w:val="24"/>
          <w:szCs w:val="24"/>
        </w:rPr>
      </w:pPr>
      <w:bookmarkStart w:id="14" w:name="_4407ccyb61e6" w:colFirst="0" w:colLast="0"/>
      <w:bookmarkEnd w:id="14"/>
    </w:p>
    <w:p w14:paraId="5B77CF6E" w14:textId="77777777" w:rsidR="00F57F64" w:rsidRDefault="003E36D7">
      <w:pPr>
        <w:pStyle w:val="Heading2"/>
        <w:keepNext w:val="0"/>
        <w:keepLines w:val="0"/>
        <w:spacing w:before="0" w:after="0"/>
        <w:rPr>
          <w:rFonts w:ascii="Calibri" w:eastAsia="Calibri" w:hAnsi="Calibri" w:cs="Calibri"/>
          <w:b/>
          <w:bCs/>
          <w:sz w:val="24"/>
          <w:szCs w:val="24"/>
        </w:rPr>
      </w:pPr>
      <w:bookmarkStart w:id="15" w:name="_ymok9enadu6j" w:colFirst="0" w:colLast="0"/>
      <w:bookmarkEnd w:id="15"/>
      <w:r>
        <w:rPr>
          <w:rFonts w:ascii="Calibri" w:eastAsia="Calibri" w:hAnsi="Calibri" w:cs="Calibri"/>
          <w:b/>
          <w:bCs/>
          <w:sz w:val="24"/>
          <w:szCs w:val="24"/>
        </w:rPr>
        <w:t>Handling Missing Critical Points: Best Practices</w:t>
      </w:r>
    </w:p>
    <w:p w14:paraId="5B77CF6F" w14:textId="77777777" w:rsidR="00F57F64" w:rsidRDefault="003E36D7">
      <w:pPr>
        <w:rPr>
          <w:rFonts w:ascii="Calibri" w:eastAsia="Calibri" w:hAnsi="Calibri" w:cs="Calibri"/>
          <w:sz w:val="24"/>
          <w:szCs w:val="24"/>
        </w:rPr>
      </w:pPr>
      <w:r>
        <w:rPr>
          <w:rFonts w:ascii="Calibri" w:eastAsia="Calibri" w:hAnsi="Calibri" w:cs="Calibri"/>
          <w:sz w:val="24"/>
          <w:szCs w:val="24"/>
        </w:rPr>
        <w:t>This approach is based on existing literature, including guidance from AHRQ, JBI, and Cochrane, which emphasize transparency, detailed documentation, and outcome-specific risk of</w:t>
      </w:r>
      <w:r>
        <w:rPr>
          <w:rFonts w:ascii="Calibri" w:eastAsia="Calibri" w:hAnsi="Calibri" w:cs="Calibri"/>
          <w:sz w:val="24"/>
          <w:szCs w:val="24"/>
        </w:rPr>
        <w:t xml:space="preserve"> bias assessments (Viswanathan et al., 2018; Higgins et al., 2024; Aromataris et al., 2024).</w:t>
      </w:r>
    </w:p>
    <w:p w14:paraId="5B77CF70" w14:textId="77777777" w:rsidR="00F57F64" w:rsidRDefault="003E36D7">
      <w:pPr>
        <w:numPr>
          <w:ilvl w:val="0"/>
          <w:numId w:val="7"/>
        </w:numPr>
        <w:rPr>
          <w:rFonts w:ascii="Calibri" w:eastAsia="Calibri" w:hAnsi="Calibri" w:cs="Calibri"/>
          <w:sz w:val="24"/>
          <w:szCs w:val="24"/>
        </w:rPr>
      </w:pPr>
      <w:r>
        <w:rPr>
          <w:rFonts w:ascii="Calibri" w:eastAsia="Calibri" w:hAnsi="Calibri" w:cs="Calibri"/>
          <w:sz w:val="24"/>
          <w:szCs w:val="24"/>
        </w:rPr>
        <w:t>If a critical point is missing or not reported, we assigned “high” risk for that domain and, if it affected main outcomes, for the overall study (Viswanathan et al</w:t>
      </w:r>
      <w:r>
        <w:rPr>
          <w:rFonts w:ascii="Calibri" w:eastAsia="Calibri" w:hAnsi="Calibri" w:cs="Calibri"/>
          <w:sz w:val="24"/>
          <w:szCs w:val="24"/>
        </w:rPr>
        <w:t>., 2018).</w:t>
      </w:r>
    </w:p>
    <w:p w14:paraId="5B77CF71" w14:textId="77777777" w:rsidR="00F57F64" w:rsidRDefault="003E36D7">
      <w:pPr>
        <w:numPr>
          <w:ilvl w:val="0"/>
          <w:numId w:val="7"/>
        </w:numPr>
        <w:rPr>
          <w:rFonts w:ascii="Calibri" w:eastAsia="Calibri" w:hAnsi="Calibri" w:cs="Calibri"/>
          <w:sz w:val="24"/>
          <w:szCs w:val="24"/>
        </w:rPr>
      </w:pPr>
      <w:r>
        <w:rPr>
          <w:rFonts w:ascii="Calibri" w:eastAsia="Calibri" w:hAnsi="Calibri" w:cs="Calibri"/>
          <w:sz w:val="24"/>
          <w:szCs w:val="24"/>
        </w:rPr>
        <w:t>We documented and justified each decision in the review process, noting the impact on internal validity and the rationale for the override (Viswanathan et al., 2018).</w:t>
      </w:r>
    </w:p>
    <w:p w14:paraId="5B77CF72" w14:textId="77777777" w:rsidR="00F57F64" w:rsidRDefault="003E36D7">
      <w:pPr>
        <w:numPr>
          <w:ilvl w:val="0"/>
          <w:numId w:val="7"/>
        </w:numPr>
        <w:rPr>
          <w:rFonts w:ascii="Calibri" w:eastAsia="Calibri" w:hAnsi="Calibri" w:cs="Calibri"/>
          <w:sz w:val="24"/>
          <w:szCs w:val="24"/>
        </w:rPr>
      </w:pPr>
      <w:r>
        <w:rPr>
          <w:rFonts w:ascii="Calibri" w:eastAsia="Calibri" w:hAnsi="Calibri" w:cs="Calibri"/>
          <w:sz w:val="24"/>
          <w:szCs w:val="24"/>
        </w:rPr>
        <w:t>If the aspect was not found to be critical, we rated that as “moderate”(Aromataris et al., 2024).</w:t>
      </w:r>
    </w:p>
    <w:p w14:paraId="5B77CF73" w14:textId="77777777" w:rsidR="00F57F64" w:rsidRDefault="00F57F64">
      <w:pPr>
        <w:rPr>
          <w:rFonts w:ascii="Calibri" w:eastAsia="Calibri" w:hAnsi="Calibri" w:cs="Calibri"/>
          <w:sz w:val="24"/>
          <w:szCs w:val="24"/>
        </w:rPr>
      </w:pPr>
    </w:p>
    <w:p w14:paraId="5B77CF74" w14:textId="77777777" w:rsidR="00F57F64" w:rsidRDefault="003E36D7">
      <w:pPr>
        <w:pStyle w:val="Heading2"/>
        <w:keepNext w:val="0"/>
        <w:keepLines w:val="0"/>
        <w:spacing w:before="0" w:after="0"/>
        <w:rPr>
          <w:rFonts w:ascii="Calibri" w:eastAsia="Calibri" w:hAnsi="Calibri" w:cs="Calibri"/>
          <w:b/>
          <w:bCs/>
          <w:sz w:val="24"/>
          <w:szCs w:val="24"/>
        </w:rPr>
      </w:pPr>
      <w:bookmarkStart w:id="16" w:name="_gf7qdspmr2zj" w:colFirst="0" w:colLast="0"/>
      <w:bookmarkEnd w:id="16"/>
      <w:r>
        <w:rPr>
          <w:rFonts w:ascii="Calibri" w:eastAsia="Calibri" w:hAnsi="Calibri" w:cs="Calibri"/>
          <w:b/>
          <w:bCs/>
          <w:sz w:val="24"/>
          <w:szCs w:val="24"/>
        </w:rPr>
        <w:t>Table: Tool Structure and Critical Domains</w:t>
      </w:r>
    </w:p>
    <w:tbl>
      <w:tblPr>
        <w:tblStyle w:val="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0"/>
        <w:gridCol w:w="1230"/>
        <w:gridCol w:w="1125"/>
        <w:gridCol w:w="1320"/>
        <w:gridCol w:w="1395"/>
        <w:gridCol w:w="2820"/>
      </w:tblGrid>
      <w:tr w:rsidR="00F57F64" w14:paraId="5B77CF7B" w14:textId="77777777">
        <w:trPr>
          <w:trHeight w:val="375"/>
        </w:trPr>
        <w:tc>
          <w:tcPr>
            <w:tcW w:w="147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5" w14:textId="77777777" w:rsidR="00F57F64" w:rsidRDefault="003E36D7">
            <w:pPr>
              <w:jc w:val="center"/>
              <w:rPr>
                <w:rFonts w:ascii="Calibri" w:eastAsia="Calibri" w:hAnsi="Calibri" w:cs="Calibri"/>
                <w:sz w:val="24"/>
                <w:szCs w:val="24"/>
              </w:rPr>
            </w:pPr>
            <w:r>
              <w:rPr>
                <w:rFonts w:ascii="Calibri" w:eastAsia="Calibri" w:hAnsi="Calibri" w:cs="Calibri"/>
                <w:sz w:val="24"/>
                <w:szCs w:val="24"/>
              </w:rPr>
              <w:t>Tool</w:t>
            </w:r>
          </w:p>
        </w:tc>
        <w:tc>
          <w:tcPr>
            <w:tcW w:w="123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6" w14:textId="77777777" w:rsidR="00F57F64" w:rsidRDefault="003E36D7">
            <w:pPr>
              <w:jc w:val="center"/>
              <w:rPr>
                <w:rFonts w:ascii="Calibri" w:eastAsia="Calibri" w:hAnsi="Calibri" w:cs="Calibri"/>
                <w:sz w:val="24"/>
                <w:szCs w:val="24"/>
              </w:rPr>
            </w:pPr>
            <w:r>
              <w:rPr>
                <w:rFonts w:ascii="Calibri" w:eastAsia="Calibri" w:hAnsi="Calibri" w:cs="Calibri"/>
                <w:sz w:val="24"/>
                <w:szCs w:val="24"/>
              </w:rPr>
              <w:t>Questions</w:t>
            </w:r>
          </w:p>
        </w:tc>
        <w:tc>
          <w:tcPr>
            <w:tcW w:w="112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7" w14:textId="77777777" w:rsidR="00F57F64" w:rsidRDefault="003E36D7">
            <w:pPr>
              <w:jc w:val="center"/>
              <w:rPr>
                <w:rFonts w:ascii="Calibri" w:eastAsia="Calibri" w:hAnsi="Calibri" w:cs="Calibri"/>
                <w:sz w:val="24"/>
                <w:szCs w:val="24"/>
              </w:rPr>
            </w:pPr>
            <w:r>
              <w:rPr>
                <w:rFonts w:ascii="Calibri" w:eastAsia="Calibri" w:hAnsi="Calibri" w:cs="Calibri"/>
                <w:sz w:val="24"/>
                <w:szCs w:val="24"/>
              </w:rPr>
              <w:t>Low Risk</w:t>
            </w:r>
          </w:p>
        </w:tc>
        <w:tc>
          <w:tcPr>
            <w:tcW w:w="13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8" w14:textId="77777777" w:rsidR="00F57F64" w:rsidRDefault="003E36D7">
            <w:pPr>
              <w:jc w:val="center"/>
              <w:rPr>
                <w:rFonts w:ascii="Calibri" w:eastAsia="Calibri" w:hAnsi="Calibri" w:cs="Calibri"/>
                <w:sz w:val="24"/>
                <w:szCs w:val="24"/>
              </w:rPr>
            </w:pPr>
            <w:r>
              <w:rPr>
                <w:rFonts w:ascii="Calibri" w:eastAsia="Calibri" w:hAnsi="Calibri" w:cs="Calibri"/>
                <w:sz w:val="24"/>
                <w:szCs w:val="24"/>
              </w:rPr>
              <w:t>Moderate Risk</w:t>
            </w:r>
          </w:p>
        </w:tc>
        <w:tc>
          <w:tcPr>
            <w:tcW w:w="13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9" w14:textId="77777777" w:rsidR="00F57F64" w:rsidRDefault="003E36D7">
            <w:pPr>
              <w:jc w:val="center"/>
              <w:rPr>
                <w:rFonts w:ascii="Calibri" w:eastAsia="Calibri" w:hAnsi="Calibri" w:cs="Calibri"/>
                <w:sz w:val="24"/>
                <w:szCs w:val="24"/>
              </w:rPr>
            </w:pPr>
            <w:r>
              <w:rPr>
                <w:rFonts w:ascii="Calibri" w:eastAsia="Calibri" w:hAnsi="Calibri" w:cs="Calibri"/>
                <w:sz w:val="24"/>
                <w:szCs w:val="24"/>
              </w:rPr>
              <w:t>High Risk</w:t>
            </w:r>
          </w:p>
        </w:tc>
        <w:tc>
          <w:tcPr>
            <w:tcW w:w="28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A" w14:textId="77777777" w:rsidR="00F57F64" w:rsidRDefault="003E36D7">
            <w:pPr>
              <w:jc w:val="center"/>
              <w:rPr>
                <w:rFonts w:ascii="Calibri" w:eastAsia="Calibri" w:hAnsi="Calibri" w:cs="Calibri"/>
                <w:sz w:val="24"/>
                <w:szCs w:val="24"/>
              </w:rPr>
            </w:pPr>
            <w:r>
              <w:rPr>
                <w:rFonts w:ascii="Calibri" w:eastAsia="Calibri" w:hAnsi="Calibri" w:cs="Calibri"/>
                <w:sz w:val="24"/>
                <w:szCs w:val="24"/>
              </w:rPr>
              <w:t>Critical Domains</w:t>
            </w:r>
          </w:p>
        </w:tc>
      </w:tr>
      <w:tr w:rsidR="00F57F64" w14:paraId="5B77CF82" w14:textId="77777777">
        <w:trPr>
          <w:trHeight w:val="555"/>
        </w:trPr>
        <w:tc>
          <w:tcPr>
            <w:tcW w:w="147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C" w14:textId="77777777" w:rsidR="00F57F64" w:rsidRDefault="003E36D7">
            <w:pPr>
              <w:rPr>
                <w:rFonts w:ascii="Calibri" w:eastAsia="Calibri" w:hAnsi="Calibri" w:cs="Calibri"/>
                <w:sz w:val="24"/>
                <w:szCs w:val="24"/>
              </w:rPr>
            </w:pPr>
            <w:r>
              <w:rPr>
                <w:rFonts w:ascii="Calibri" w:eastAsia="Calibri" w:hAnsi="Calibri" w:cs="Calibri"/>
                <w:sz w:val="24"/>
                <w:szCs w:val="24"/>
              </w:rPr>
              <w:t>NIH Pre-Post</w:t>
            </w:r>
          </w:p>
        </w:tc>
        <w:tc>
          <w:tcPr>
            <w:tcW w:w="123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D" w14:textId="77777777" w:rsidR="00F57F64" w:rsidRDefault="003E36D7">
            <w:pPr>
              <w:rPr>
                <w:rFonts w:ascii="Calibri" w:eastAsia="Calibri" w:hAnsi="Calibri" w:cs="Calibri"/>
                <w:sz w:val="24"/>
                <w:szCs w:val="24"/>
              </w:rPr>
            </w:pPr>
            <w:r>
              <w:rPr>
                <w:rFonts w:ascii="Calibri" w:eastAsia="Calibri" w:hAnsi="Calibri" w:cs="Calibri"/>
                <w:sz w:val="24"/>
                <w:szCs w:val="24"/>
              </w:rPr>
              <w:t>12</w:t>
            </w:r>
          </w:p>
        </w:tc>
        <w:tc>
          <w:tcPr>
            <w:tcW w:w="112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E" w14:textId="77777777" w:rsidR="00F57F64" w:rsidRDefault="003E36D7">
            <w:pPr>
              <w:rPr>
                <w:rFonts w:ascii="Calibri" w:eastAsia="Calibri" w:hAnsi="Calibri" w:cs="Calibri"/>
                <w:sz w:val="24"/>
                <w:szCs w:val="24"/>
              </w:rPr>
            </w:pPr>
            <w:r>
              <w:rPr>
                <w:rFonts w:ascii="Calibri" w:eastAsia="Calibri" w:hAnsi="Calibri" w:cs="Calibri"/>
                <w:sz w:val="24"/>
                <w:szCs w:val="24"/>
              </w:rPr>
              <w:t>≥10 “Yes”</w:t>
            </w:r>
          </w:p>
        </w:tc>
        <w:tc>
          <w:tcPr>
            <w:tcW w:w="13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7F" w14:textId="77777777" w:rsidR="00F57F64" w:rsidRDefault="003E36D7">
            <w:pPr>
              <w:rPr>
                <w:rFonts w:ascii="Calibri" w:eastAsia="Calibri" w:hAnsi="Calibri" w:cs="Calibri"/>
                <w:sz w:val="24"/>
                <w:szCs w:val="24"/>
              </w:rPr>
            </w:pPr>
            <w:r>
              <w:rPr>
                <w:rFonts w:ascii="Calibri" w:eastAsia="Calibri" w:hAnsi="Calibri" w:cs="Calibri"/>
                <w:sz w:val="24"/>
                <w:szCs w:val="24"/>
              </w:rPr>
              <w:t>7–9 “Yes”</w:t>
            </w:r>
          </w:p>
        </w:tc>
        <w:tc>
          <w:tcPr>
            <w:tcW w:w="13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0" w14:textId="77777777" w:rsidR="00F57F64" w:rsidRDefault="003E36D7">
            <w:pPr>
              <w:rPr>
                <w:rFonts w:ascii="Calibri" w:eastAsia="Calibri" w:hAnsi="Calibri" w:cs="Calibri"/>
                <w:sz w:val="24"/>
                <w:szCs w:val="24"/>
              </w:rPr>
            </w:pPr>
            <w:r>
              <w:rPr>
                <w:rFonts w:ascii="Calibri" w:eastAsia="Calibri" w:hAnsi="Calibri" w:cs="Calibri"/>
                <w:sz w:val="24"/>
                <w:szCs w:val="24"/>
              </w:rPr>
              <w:t>≤6 “Yes”</w:t>
            </w:r>
          </w:p>
        </w:tc>
        <w:tc>
          <w:tcPr>
            <w:tcW w:w="28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1" w14:textId="77777777" w:rsidR="00F57F64" w:rsidRDefault="003E36D7">
            <w:pPr>
              <w:rPr>
                <w:rFonts w:ascii="Calibri" w:eastAsia="Calibri" w:hAnsi="Calibri" w:cs="Calibri"/>
                <w:sz w:val="24"/>
                <w:szCs w:val="24"/>
              </w:rPr>
            </w:pPr>
            <w:r>
              <w:rPr>
                <w:rFonts w:ascii="Calibri" w:eastAsia="Calibri" w:hAnsi="Calibri" w:cs="Calibri"/>
                <w:sz w:val="24"/>
                <w:szCs w:val="24"/>
              </w:rPr>
              <w:t>Sample size, outcome validity, follow-up rate</w:t>
            </w:r>
          </w:p>
        </w:tc>
      </w:tr>
      <w:tr w:rsidR="00F57F64" w14:paraId="5B77CF89" w14:textId="77777777">
        <w:trPr>
          <w:trHeight w:val="615"/>
        </w:trPr>
        <w:tc>
          <w:tcPr>
            <w:tcW w:w="147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3" w14:textId="77777777" w:rsidR="00F57F64" w:rsidRDefault="003E36D7">
            <w:pPr>
              <w:rPr>
                <w:rFonts w:ascii="Calibri" w:eastAsia="Calibri" w:hAnsi="Calibri" w:cs="Calibri"/>
                <w:sz w:val="24"/>
                <w:szCs w:val="24"/>
              </w:rPr>
            </w:pPr>
            <w:r>
              <w:rPr>
                <w:rFonts w:ascii="Calibri" w:eastAsia="Calibri" w:hAnsi="Calibri" w:cs="Calibri"/>
                <w:sz w:val="24"/>
                <w:szCs w:val="24"/>
              </w:rPr>
              <w:lastRenderedPageBreak/>
              <w:t>JBI RCTs</w:t>
            </w:r>
          </w:p>
        </w:tc>
        <w:tc>
          <w:tcPr>
            <w:tcW w:w="123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4" w14:textId="77777777" w:rsidR="00F57F64" w:rsidRDefault="003E36D7">
            <w:pPr>
              <w:rPr>
                <w:rFonts w:ascii="Calibri" w:eastAsia="Calibri" w:hAnsi="Calibri" w:cs="Calibri"/>
                <w:sz w:val="24"/>
                <w:szCs w:val="24"/>
              </w:rPr>
            </w:pPr>
            <w:r>
              <w:rPr>
                <w:rFonts w:ascii="Calibri" w:eastAsia="Calibri" w:hAnsi="Calibri" w:cs="Calibri"/>
                <w:sz w:val="24"/>
                <w:szCs w:val="24"/>
              </w:rPr>
              <w:t>13</w:t>
            </w:r>
          </w:p>
        </w:tc>
        <w:tc>
          <w:tcPr>
            <w:tcW w:w="112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5" w14:textId="77777777" w:rsidR="00F57F64" w:rsidRDefault="003E36D7">
            <w:pPr>
              <w:rPr>
                <w:rFonts w:ascii="Calibri" w:eastAsia="Calibri" w:hAnsi="Calibri" w:cs="Calibri"/>
                <w:sz w:val="24"/>
                <w:szCs w:val="24"/>
              </w:rPr>
            </w:pPr>
            <w:r>
              <w:rPr>
                <w:rFonts w:ascii="Calibri" w:eastAsia="Calibri" w:hAnsi="Calibri" w:cs="Calibri"/>
                <w:sz w:val="24"/>
                <w:szCs w:val="24"/>
              </w:rPr>
              <w:t>≥11 “Yes”</w:t>
            </w:r>
          </w:p>
        </w:tc>
        <w:tc>
          <w:tcPr>
            <w:tcW w:w="13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6" w14:textId="77777777" w:rsidR="00F57F64" w:rsidRDefault="003E36D7">
            <w:pPr>
              <w:rPr>
                <w:rFonts w:ascii="Calibri" w:eastAsia="Calibri" w:hAnsi="Calibri" w:cs="Calibri"/>
                <w:sz w:val="24"/>
                <w:szCs w:val="24"/>
              </w:rPr>
            </w:pPr>
            <w:r>
              <w:rPr>
                <w:rFonts w:ascii="Calibri" w:eastAsia="Calibri" w:hAnsi="Calibri" w:cs="Calibri"/>
                <w:sz w:val="24"/>
                <w:szCs w:val="24"/>
              </w:rPr>
              <w:t>9–10 “Yes”</w:t>
            </w:r>
          </w:p>
        </w:tc>
        <w:tc>
          <w:tcPr>
            <w:tcW w:w="13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7" w14:textId="77777777" w:rsidR="00F57F64" w:rsidRDefault="003E36D7">
            <w:pPr>
              <w:rPr>
                <w:rFonts w:ascii="Calibri" w:eastAsia="Calibri" w:hAnsi="Calibri" w:cs="Calibri"/>
                <w:sz w:val="24"/>
                <w:szCs w:val="24"/>
              </w:rPr>
            </w:pPr>
            <w:r>
              <w:rPr>
                <w:rFonts w:ascii="Calibri" w:eastAsia="Calibri" w:hAnsi="Calibri" w:cs="Calibri"/>
                <w:sz w:val="24"/>
                <w:szCs w:val="24"/>
              </w:rPr>
              <w:t>≤8 “Yes”</w:t>
            </w:r>
          </w:p>
        </w:tc>
        <w:tc>
          <w:tcPr>
            <w:tcW w:w="28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8" w14:textId="77777777" w:rsidR="00F57F64" w:rsidRDefault="003E36D7">
            <w:pPr>
              <w:rPr>
                <w:rFonts w:ascii="Calibri" w:eastAsia="Calibri" w:hAnsi="Calibri" w:cs="Calibri"/>
                <w:sz w:val="24"/>
                <w:szCs w:val="24"/>
              </w:rPr>
            </w:pPr>
            <w:r>
              <w:rPr>
                <w:rFonts w:ascii="Calibri" w:eastAsia="Calibri" w:hAnsi="Calibri" w:cs="Calibri"/>
                <w:sz w:val="24"/>
                <w:szCs w:val="24"/>
              </w:rPr>
              <w:t>Randomization, allocation, blinding, outcome measurement</w:t>
            </w:r>
          </w:p>
        </w:tc>
      </w:tr>
      <w:tr w:rsidR="00F57F64" w14:paraId="5B77CF90" w14:textId="77777777">
        <w:trPr>
          <w:trHeight w:val="785"/>
        </w:trPr>
        <w:tc>
          <w:tcPr>
            <w:tcW w:w="147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A" w14:textId="77777777" w:rsidR="00F57F64" w:rsidRDefault="003E36D7">
            <w:pPr>
              <w:rPr>
                <w:rFonts w:ascii="Calibri" w:eastAsia="Calibri" w:hAnsi="Calibri" w:cs="Calibri"/>
                <w:sz w:val="24"/>
                <w:szCs w:val="24"/>
              </w:rPr>
            </w:pPr>
            <w:r>
              <w:rPr>
                <w:rFonts w:ascii="Calibri" w:eastAsia="Calibri" w:hAnsi="Calibri" w:cs="Calibri"/>
                <w:sz w:val="24"/>
                <w:szCs w:val="24"/>
              </w:rPr>
              <w:t>JBI Quasi-Experimental</w:t>
            </w:r>
          </w:p>
        </w:tc>
        <w:tc>
          <w:tcPr>
            <w:tcW w:w="123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B" w14:textId="77777777" w:rsidR="00F57F64" w:rsidRDefault="003E36D7">
            <w:pPr>
              <w:rPr>
                <w:rFonts w:ascii="Calibri" w:eastAsia="Calibri" w:hAnsi="Calibri" w:cs="Calibri"/>
                <w:sz w:val="24"/>
                <w:szCs w:val="24"/>
              </w:rPr>
            </w:pPr>
            <w:r>
              <w:rPr>
                <w:rFonts w:ascii="Calibri" w:eastAsia="Calibri" w:hAnsi="Calibri" w:cs="Calibri"/>
                <w:sz w:val="24"/>
                <w:szCs w:val="24"/>
              </w:rPr>
              <w:t>9</w:t>
            </w:r>
          </w:p>
        </w:tc>
        <w:tc>
          <w:tcPr>
            <w:tcW w:w="112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C" w14:textId="77777777" w:rsidR="00F57F64" w:rsidRDefault="003E36D7">
            <w:pPr>
              <w:rPr>
                <w:rFonts w:ascii="Calibri" w:eastAsia="Calibri" w:hAnsi="Calibri" w:cs="Calibri"/>
                <w:sz w:val="24"/>
                <w:szCs w:val="24"/>
              </w:rPr>
            </w:pPr>
            <w:r>
              <w:rPr>
                <w:rFonts w:ascii="Calibri" w:eastAsia="Calibri" w:hAnsi="Calibri" w:cs="Calibri"/>
                <w:sz w:val="24"/>
                <w:szCs w:val="24"/>
              </w:rPr>
              <w:t>≥9 “Yes”</w:t>
            </w:r>
          </w:p>
        </w:tc>
        <w:tc>
          <w:tcPr>
            <w:tcW w:w="13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D" w14:textId="77777777" w:rsidR="00F57F64" w:rsidRDefault="003E36D7">
            <w:pPr>
              <w:rPr>
                <w:rFonts w:ascii="Calibri" w:eastAsia="Calibri" w:hAnsi="Calibri" w:cs="Calibri"/>
                <w:sz w:val="24"/>
                <w:szCs w:val="24"/>
              </w:rPr>
            </w:pPr>
            <w:r>
              <w:rPr>
                <w:rFonts w:ascii="Calibri" w:eastAsia="Calibri" w:hAnsi="Calibri" w:cs="Calibri"/>
                <w:sz w:val="24"/>
                <w:szCs w:val="24"/>
              </w:rPr>
              <w:t>7–8 “Yes”</w:t>
            </w:r>
          </w:p>
        </w:tc>
        <w:tc>
          <w:tcPr>
            <w:tcW w:w="13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E" w14:textId="77777777" w:rsidR="00F57F64" w:rsidRDefault="003E36D7">
            <w:pPr>
              <w:rPr>
                <w:rFonts w:ascii="Calibri" w:eastAsia="Calibri" w:hAnsi="Calibri" w:cs="Calibri"/>
                <w:sz w:val="24"/>
                <w:szCs w:val="24"/>
              </w:rPr>
            </w:pPr>
            <w:r>
              <w:rPr>
                <w:rFonts w:ascii="Calibri" w:eastAsia="Calibri" w:hAnsi="Calibri" w:cs="Calibri"/>
                <w:sz w:val="24"/>
                <w:szCs w:val="24"/>
              </w:rPr>
              <w:t>≤6 “Yes”</w:t>
            </w:r>
          </w:p>
        </w:tc>
        <w:tc>
          <w:tcPr>
            <w:tcW w:w="28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8F" w14:textId="77777777" w:rsidR="00F57F64" w:rsidRDefault="003E36D7">
            <w:pPr>
              <w:rPr>
                <w:rFonts w:ascii="Calibri" w:eastAsia="Calibri" w:hAnsi="Calibri" w:cs="Calibri"/>
                <w:sz w:val="24"/>
                <w:szCs w:val="24"/>
              </w:rPr>
            </w:pPr>
            <w:r>
              <w:rPr>
                <w:rFonts w:ascii="Calibri" w:eastAsia="Calibri" w:hAnsi="Calibri" w:cs="Calibri"/>
                <w:sz w:val="24"/>
                <w:szCs w:val="24"/>
              </w:rPr>
              <w:t>Confounding, outcome measurement</w:t>
            </w:r>
          </w:p>
        </w:tc>
      </w:tr>
      <w:tr w:rsidR="00F57F64" w14:paraId="5B77CF97" w14:textId="77777777">
        <w:trPr>
          <w:trHeight w:val="785"/>
        </w:trPr>
        <w:tc>
          <w:tcPr>
            <w:tcW w:w="147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1" w14:textId="77777777" w:rsidR="00F57F64" w:rsidRDefault="003E36D7">
            <w:pPr>
              <w:rPr>
                <w:rFonts w:ascii="Calibri" w:eastAsia="Calibri" w:hAnsi="Calibri" w:cs="Calibri"/>
                <w:sz w:val="24"/>
                <w:szCs w:val="24"/>
              </w:rPr>
            </w:pPr>
            <w:r>
              <w:rPr>
                <w:rFonts w:ascii="Calibri" w:eastAsia="Calibri" w:hAnsi="Calibri" w:cs="Calibri"/>
                <w:sz w:val="24"/>
                <w:szCs w:val="24"/>
              </w:rPr>
              <w:t>JBI Cross-Sectional</w:t>
            </w:r>
          </w:p>
        </w:tc>
        <w:tc>
          <w:tcPr>
            <w:tcW w:w="123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2" w14:textId="77777777" w:rsidR="00F57F64" w:rsidRDefault="003E36D7">
            <w:pPr>
              <w:rPr>
                <w:rFonts w:ascii="Calibri" w:eastAsia="Calibri" w:hAnsi="Calibri" w:cs="Calibri"/>
                <w:sz w:val="24"/>
                <w:szCs w:val="24"/>
              </w:rPr>
            </w:pPr>
            <w:r>
              <w:rPr>
                <w:rFonts w:ascii="Calibri" w:eastAsia="Calibri" w:hAnsi="Calibri" w:cs="Calibri"/>
                <w:sz w:val="24"/>
                <w:szCs w:val="24"/>
              </w:rPr>
              <w:t>8</w:t>
            </w:r>
          </w:p>
        </w:tc>
        <w:tc>
          <w:tcPr>
            <w:tcW w:w="112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3" w14:textId="77777777" w:rsidR="00F57F64" w:rsidRDefault="003E36D7">
            <w:pPr>
              <w:rPr>
                <w:rFonts w:ascii="Calibri" w:eastAsia="Calibri" w:hAnsi="Calibri" w:cs="Calibri"/>
                <w:sz w:val="24"/>
                <w:szCs w:val="24"/>
              </w:rPr>
            </w:pPr>
            <w:r>
              <w:rPr>
                <w:rFonts w:ascii="Calibri" w:eastAsia="Calibri" w:hAnsi="Calibri" w:cs="Calibri"/>
                <w:sz w:val="24"/>
                <w:szCs w:val="24"/>
              </w:rPr>
              <w:t>≥7 “Yes”</w:t>
            </w:r>
          </w:p>
        </w:tc>
        <w:tc>
          <w:tcPr>
            <w:tcW w:w="13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4" w14:textId="77777777" w:rsidR="00F57F64" w:rsidRDefault="003E36D7">
            <w:pPr>
              <w:rPr>
                <w:rFonts w:ascii="Calibri" w:eastAsia="Calibri" w:hAnsi="Calibri" w:cs="Calibri"/>
                <w:sz w:val="24"/>
                <w:szCs w:val="24"/>
              </w:rPr>
            </w:pPr>
            <w:r>
              <w:rPr>
                <w:rFonts w:ascii="Calibri" w:eastAsia="Calibri" w:hAnsi="Calibri" w:cs="Calibri"/>
                <w:sz w:val="24"/>
                <w:szCs w:val="24"/>
              </w:rPr>
              <w:t>5–6 “Yes”</w:t>
            </w:r>
          </w:p>
        </w:tc>
        <w:tc>
          <w:tcPr>
            <w:tcW w:w="13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5" w14:textId="77777777" w:rsidR="00F57F64" w:rsidRDefault="003E36D7">
            <w:pPr>
              <w:rPr>
                <w:rFonts w:ascii="Calibri" w:eastAsia="Calibri" w:hAnsi="Calibri" w:cs="Calibri"/>
                <w:sz w:val="24"/>
                <w:szCs w:val="24"/>
              </w:rPr>
            </w:pPr>
            <w:r>
              <w:rPr>
                <w:rFonts w:ascii="Calibri" w:eastAsia="Calibri" w:hAnsi="Calibri" w:cs="Calibri"/>
                <w:sz w:val="24"/>
                <w:szCs w:val="24"/>
              </w:rPr>
              <w:t>≤4 “Yes”</w:t>
            </w:r>
          </w:p>
        </w:tc>
        <w:tc>
          <w:tcPr>
            <w:tcW w:w="28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6" w14:textId="77777777" w:rsidR="00F57F64" w:rsidRDefault="003E36D7">
            <w:pPr>
              <w:rPr>
                <w:rFonts w:ascii="Calibri" w:eastAsia="Calibri" w:hAnsi="Calibri" w:cs="Calibri"/>
                <w:sz w:val="24"/>
                <w:szCs w:val="24"/>
              </w:rPr>
            </w:pPr>
            <w:r>
              <w:rPr>
                <w:rFonts w:ascii="Calibri" w:eastAsia="Calibri" w:hAnsi="Calibri" w:cs="Calibri"/>
                <w:sz w:val="24"/>
                <w:szCs w:val="24"/>
              </w:rPr>
              <w:t>Inclusion, measurement, confounder identification/control</w:t>
            </w:r>
          </w:p>
        </w:tc>
      </w:tr>
      <w:tr w:rsidR="00F57F64" w14:paraId="5B77CF9E" w14:textId="77777777">
        <w:trPr>
          <w:trHeight w:val="585"/>
        </w:trPr>
        <w:tc>
          <w:tcPr>
            <w:tcW w:w="147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8" w14:textId="77777777" w:rsidR="00F57F64" w:rsidRDefault="003E36D7">
            <w:pPr>
              <w:rPr>
                <w:rFonts w:ascii="Calibri" w:eastAsia="Calibri" w:hAnsi="Calibri" w:cs="Calibri"/>
                <w:sz w:val="24"/>
                <w:szCs w:val="24"/>
              </w:rPr>
            </w:pPr>
            <w:r>
              <w:rPr>
                <w:rFonts w:ascii="Calibri" w:eastAsia="Calibri" w:hAnsi="Calibri" w:cs="Calibri"/>
                <w:sz w:val="24"/>
                <w:szCs w:val="24"/>
              </w:rPr>
              <w:t>JBI Case Reports</w:t>
            </w:r>
          </w:p>
        </w:tc>
        <w:tc>
          <w:tcPr>
            <w:tcW w:w="123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9" w14:textId="77777777" w:rsidR="00F57F64" w:rsidRDefault="003E36D7">
            <w:pPr>
              <w:rPr>
                <w:rFonts w:ascii="Calibri" w:eastAsia="Calibri" w:hAnsi="Calibri" w:cs="Calibri"/>
                <w:sz w:val="24"/>
                <w:szCs w:val="24"/>
              </w:rPr>
            </w:pPr>
            <w:r>
              <w:rPr>
                <w:rFonts w:ascii="Calibri" w:eastAsia="Calibri" w:hAnsi="Calibri" w:cs="Calibri"/>
                <w:sz w:val="24"/>
                <w:szCs w:val="24"/>
              </w:rPr>
              <w:t>8</w:t>
            </w:r>
          </w:p>
        </w:tc>
        <w:tc>
          <w:tcPr>
            <w:tcW w:w="112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A" w14:textId="77777777" w:rsidR="00F57F64" w:rsidRDefault="003E36D7">
            <w:pPr>
              <w:rPr>
                <w:rFonts w:ascii="Calibri" w:eastAsia="Calibri" w:hAnsi="Calibri" w:cs="Calibri"/>
                <w:sz w:val="24"/>
                <w:szCs w:val="24"/>
              </w:rPr>
            </w:pPr>
            <w:r>
              <w:rPr>
                <w:rFonts w:ascii="Calibri" w:eastAsia="Calibri" w:hAnsi="Calibri" w:cs="Calibri"/>
                <w:sz w:val="24"/>
                <w:szCs w:val="24"/>
              </w:rPr>
              <w:t>≥7 “Yes”</w:t>
            </w:r>
          </w:p>
        </w:tc>
        <w:tc>
          <w:tcPr>
            <w:tcW w:w="13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B" w14:textId="77777777" w:rsidR="00F57F64" w:rsidRDefault="003E36D7">
            <w:pPr>
              <w:rPr>
                <w:rFonts w:ascii="Calibri" w:eastAsia="Calibri" w:hAnsi="Calibri" w:cs="Calibri"/>
                <w:sz w:val="24"/>
                <w:szCs w:val="24"/>
              </w:rPr>
            </w:pPr>
            <w:r>
              <w:rPr>
                <w:rFonts w:ascii="Calibri" w:eastAsia="Calibri" w:hAnsi="Calibri" w:cs="Calibri"/>
                <w:sz w:val="24"/>
                <w:szCs w:val="24"/>
              </w:rPr>
              <w:t>5–6 “Yes”</w:t>
            </w:r>
          </w:p>
        </w:tc>
        <w:tc>
          <w:tcPr>
            <w:tcW w:w="13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C" w14:textId="77777777" w:rsidR="00F57F64" w:rsidRDefault="003E36D7">
            <w:pPr>
              <w:rPr>
                <w:rFonts w:ascii="Calibri" w:eastAsia="Calibri" w:hAnsi="Calibri" w:cs="Calibri"/>
                <w:sz w:val="24"/>
                <w:szCs w:val="24"/>
              </w:rPr>
            </w:pPr>
            <w:r>
              <w:rPr>
                <w:rFonts w:ascii="Calibri" w:eastAsia="Calibri" w:hAnsi="Calibri" w:cs="Calibri"/>
                <w:sz w:val="24"/>
                <w:szCs w:val="24"/>
              </w:rPr>
              <w:t>≤4 “Yes”</w:t>
            </w:r>
          </w:p>
        </w:tc>
        <w:tc>
          <w:tcPr>
            <w:tcW w:w="28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D" w14:textId="77777777" w:rsidR="00F57F64" w:rsidRDefault="003E36D7">
            <w:pPr>
              <w:rPr>
                <w:rFonts w:ascii="Calibri" w:eastAsia="Calibri" w:hAnsi="Calibri" w:cs="Calibri"/>
                <w:sz w:val="24"/>
                <w:szCs w:val="24"/>
              </w:rPr>
            </w:pPr>
            <w:r>
              <w:rPr>
                <w:rFonts w:ascii="Calibri" w:eastAsia="Calibri" w:hAnsi="Calibri" w:cs="Calibri"/>
                <w:sz w:val="24"/>
                <w:szCs w:val="24"/>
              </w:rPr>
              <w:t>Diagnostic certainty, intervention, follow-up</w:t>
            </w:r>
          </w:p>
        </w:tc>
      </w:tr>
      <w:tr w:rsidR="00F57F64" w14:paraId="5B77CFA5" w14:textId="77777777">
        <w:trPr>
          <w:trHeight w:val="510"/>
        </w:trPr>
        <w:tc>
          <w:tcPr>
            <w:tcW w:w="147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9F" w14:textId="77777777" w:rsidR="00F57F64" w:rsidRDefault="003E36D7">
            <w:pPr>
              <w:rPr>
                <w:rFonts w:ascii="Calibri" w:eastAsia="Calibri" w:hAnsi="Calibri" w:cs="Calibri"/>
                <w:sz w:val="24"/>
                <w:szCs w:val="24"/>
              </w:rPr>
            </w:pPr>
            <w:r>
              <w:rPr>
                <w:rFonts w:ascii="Calibri" w:eastAsia="Calibri" w:hAnsi="Calibri" w:cs="Calibri"/>
                <w:sz w:val="24"/>
                <w:szCs w:val="24"/>
              </w:rPr>
              <w:t>JBI Qualitative</w:t>
            </w:r>
          </w:p>
        </w:tc>
        <w:tc>
          <w:tcPr>
            <w:tcW w:w="123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0" w14:textId="77777777" w:rsidR="00F57F64" w:rsidRDefault="003E36D7">
            <w:pPr>
              <w:rPr>
                <w:rFonts w:ascii="Calibri" w:eastAsia="Calibri" w:hAnsi="Calibri" w:cs="Calibri"/>
                <w:sz w:val="24"/>
                <w:szCs w:val="24"/>
              </w:rPr>
            </w:pPr>
            <w:r>
              <w:rPr>
                <w:rFonts w:ascii="Calibri" w:eastAsia="Calibri" w:hAnsi="Calibri" w:cs="Calibri"/>
                <w:sz w:val="24"/>
                <w:szCs w:val="24"/>
              </w:rPr>
              <w:t>10</w:t>
            </w:r>
          </w:p>
        </w:tc>
        <w:tc>
          <w:tcPr>
            <w:tcW w:w="112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1" w14:textId="77777777" w:rsidR="00F57F64" w:rsidRDefault="003E36D7">
            <w:pPr>
              <w:rPr>
                <w:rFonts w:ascii="Calibri" w:eastAsia="Calibri" w:hAnsi="Calibri" w:cs="Calibri"/>
                <w:sz w:val="24"/>
                <w:szCs w:val="24"/>
              </w:rPr>
            </w:pPr>
            <w:r>
              <w:rPr>
                <w:rFonts w:ascii="Calibri" w:eastAsia="Calibri" w:hAnsi="Calibri" w:cs="Calibri"/>
                <w:sz w:val="24"/>
                <w:szCs w:val="24"/>
              </w:rPr>
              <w:t>≥9 “Yes”</w:t>
            </w:r>
          </w:p>
        </w:tc>
        <w:tc>
          <w:tcPr>
            <w:tcW w:w="13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2" w14:textId="77777777" w:rsidR="00F57F64" w:rsidRDefault="003E36D7">
            <w:pPr>
              <w:rPr>
                <w:rFonts w:ascii="Calibri" w:eastAsia="Calibri" w:hAnsi="Calibri" w:cs="Calibri"/>
                <w:sz w:val="24"/>
                <w:szCs w:val="24"/>
              </w:rPr>
            </w:pPr>
            <w:r>
              <w:rPr>
                <w:rFonts w:ascii="Calibri" w:eastAsia="Calibri" w:hAnsi="Calibri" w:cs="Calibri"/>
                <w:sz w:val="24"/>
                <w:szCs w:val="24"/>
              </w:rPr>
              <w:t>6–8 “Yes”</w:t>
            </w:r>
          </w:p>
        </w:tc>
        <w:tc>
          <w:tcPr>
            <w:tcW w:w="13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3" w14:textId="77777777" w:rsidR="00F57F64" w:rsidRDefault="003E36D7">
            <w:pPr>
              <w:rPr>
                <w:rFonts w:ascii="Calibri" w:eastAsia="Calibri" w:hAnsi="Calibri" w:cs="Calibri"/>
                <w:sz w:val="24"/>
                <w:szCs w:val="24"/>
              </w:rPr>
            </w:pPr>
            <w:r>
              <w:rPr>
                <w:rFonts w:ascii="Calibri" w:eastAsia="Calibri" w:hAnsi="Calibri" w:cs="Calibri"/>
                <w:sz w:val="24"/>
                <w:szCs w:val="24"/>
              </w:rPr>
              <w:t>≤5 “Yes”</w:t>
            </w:r>
          </w:p>
        </w:tc>
        <w:tc>
          <w:tcPr>
            <w:tcW w:w="28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4" w14:textId="77777777" w:rsidR="00F57F64" w:rsidRDefault="003E36D7">
            <w:pPr>
              <w:rPr>
                <w:rFonts w:ascii="Calibri" w:eastAsia="Calibri" w:hAnsi="Calibri" w:cs="Calibri"/>
                <w:sz w:val="24"/>
                <w:szCs w:val="24"/>
              </w:rPr>
            </w:pPr>
            <w:r>
              <w:rPr>
                <w:rFonts w:ascii="Calibri" w:eastAsia="Calibri" w:hAnsi="Calibri" w:cs="Calibri"/>
                <w:sz w:val="24"/>
                <w:szCs w:val="24"/>
              </w:rPr>
              <w:t>Methodological congruity, reflexivity, participant voices</w:t>
            </w:r>
          </w:p>
        </w:tc>
      </w:tr>
      <w:tr w:rsidR="00F57F64" w14:paraId="5B77CFAC" w14:textId="77777777">
        <w:trPr>
          <w:trHeight w:val="570"/>
        </w:trPr>
        <w:tc>
          <w:tcPr>
            <w:tcW w:w="147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6" w14:textId="77777777" w:rsidR="00F57F64" w:rsidRDefault="003E36D7">
            <w:pPr>
              <w:rPr>
                <w:rFonts w:ascii="Calibri" w:eastAsia="Calibri" w:hAnsi="Calibri" w:cs="Calibri"/>
                <w:sz w:val="24"/>
                <w:szCs w:val="24"/>
              </w:rPr>
            </w:pPr>
            <w:r>
              <w:rPr>
                <w:rFonts w:ascii="Calibri" w:eastAsia="Calibri" w:hAnsi="Calibri" w:cs="Calibri"/>
                <w:sz w:val="24"/>
                <w:szCs w:val="24"/>
              </w:rPr>
              <w:t>JBI Diagnostic Accuracy</w:t>
            </w:r>
          </w:p>
        </w:tc>
        <w:tc>
          <w:tcPr>
            <w:tcW w:w="123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7" w14:textId="77777777" w:rsidR="00F57F64" w:rsidRDefault="003E36D7">
            <w:pPr>
              <w:rPr>
                <w:rFonts w:ascii="Calibri" w:eastAsia="Calibri" w:hAnsi="Calibri" w:cs="Calibri"/>
                <w:sz w:val="24"/>
                <w:szCs w:val="24"/>
              </w:rPr>
            </w:pPr>
            <w:r>
              <w:rPr>
                <w:rFonts w:ascii="Calibri" w:eastAsia="Calibri" w:hAnsi="Calibri" w:cs="Calibri"/>
                <w:sz w:val="24"/>
                <w:szCs w:val="24"/>
              </w:rPr>
              <w:t>10</w:t>
            </w:r>
          </w:p>
        </w:tc>
        <w:tc>
          <w:tcPr>
            <w:tcW w:w="112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8" w14:textId="77777777" w:rsidR="00F57F64" w:rsidRDefault="003E36D7">
            <w:pPr>
              <w:rPr>
                <w:rFonts w:ascii="Calibri" w:eastAsia="Calibri" w:hAnsi="Calibri" w:cs="Calibri"/>
                <w:sz w:val="24"/>
                <w:szCs w:val="24"/>
              </w:rPr>
            </w:pPr>
            <w:r>
              <w:rPr>
                <w:rFonts w:ascii="Calibri" w:eastAsia="Calibri" w:hAnsi="Calibri" w:cs="Calibri"/>
                <w:sz w:val="24"/>
                <w:szCs w:val="24"/>
              </w:rPr>
              <w:t>≥9 “Yes”</w:t>
            </w:r>
          </w:p>
        </w:tc>
        <w:tc>
          <w:tcPr>
            <w:tcW w:w="13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9" w14:textId="77777777" w:rsidR="00F57F64" w:rsidRDefault="003E36D7">
            <w:pPr>
              <w:rPr>
                <w:rFonts w:ascii="Calibri" w:eastAsia="Calibri" w:hAnsi="Calibri" w:cs="Calibri"/>
                <w:sz w:val="24"/>
                <w:szCs w:val="24"/>
              </w:rPr>
            </w:pPr>
            <w:r>
              <w:rPr>
                <w:rFonts w:ascii="Calibri" w:eastAsia="Calibri" w:hAnsi="Calibri" w:cs="Calibri"/>
                <w:sz w:val="24"/>
                <w:szCs w:val="24"/>
              </w:rPr>
              <w:t>6–8 “Yes”</w:t>
            </w:r>
          </w:p>
        </w:tc>
        <w:tc>
          <w:tcPr>
            <w:tcW w:w="13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A" w14:textId="77777777" w:rsidR="00F57F64" w:rsidRDefault="003E36D7">
            <w:pPr>
              <w:rPr>
                <w:rFonts w:ascii="Calibri" w:eastAsia="Calibri" w:hAnsi="Calibri" w:cs="Calibri"/>
                <w:sz w:val="24"/>
                <w:szCs w:val="24"/>
              </w:rPr>
            </w:pPr>
            <w:r>
              <w:rPr>
                <w:rFonts w:ascii="Calibri" w:eastAsia="Calibri" w:hAnsi="Calibri" w:cs="Calibri"/>
                <w:sz w:val="24"/>
                <w:szCs w:val="24"/>
              </w:rPr>
              <w:t>≤5 “Yes”</w:t>
            </w:r>
          </w:p>
        </w:tc>
        <w:tc>
          <w:tcPr>
            <w:tcW w:w="2820"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tcPr>
          <w:p w14:paraId="5B77CFAB" w14:textId="77777777" w:rsidR="00F57F64" w:rsidRDefault="003E36D7">
            <w:pPr>
              <w:rPr>
                <w:rFonts w:ascii="Calibri" w:eastAsia="Calibri" w:hAnsi="Calibri" w:cs="Calibri"/>
                <w:sz w:val="24"/>
                <w:szCs w:val="24"/>
              </w:rPr>
            </w:pPr>
            <w:r>
              <w:rPr>
                <w:rFonts w:ascii="Calibri" w:eastAsia="Calibri" w:hAnsi="Calibri" w:cs="Calibri"/>
                <w:sz w:val="24"/>
                <w:szCs w:val="24"/>
              </w:rPr>
              <w:t>Patient selection, blinding, reference standard</w:t>
            </w:r>
          </w:p>
        </w:tc>
      </w:tr>
    </w:tbl>
    <w:p w14:paraId="5B77CFAD" w14:textId="77777777" w:rsidR="00F57F64" w:rsidRDefault="00F57F64">
      <w:pPr>
        <w:rPr>
          <w:rFonts w:ascii="Calibri" w:eastAsia="Calibri" w:hAnsi="Calibri" w:cs="Calibri"/>
          <w:sz w:val="24"/>
          <w:szCs w:val="24"/>
        </w:rPr>
      </w:pPr>
    </w:p>
    <w:p w14:paraId="5B77CFAE" w14:textId="77777777" w:rsidR="00F57F64" w:rsidRDefault="003E36D7">
      <w:pPr>
        <w:pStyle w:val="Heading2"/>
        <w:keepNext w:val="0"/>
        <w:keepLines w:val="0"/>
        <w:spacing w:before="0" w:after="0"/>
        <w:rPr>
          <w:rFonts w:ascii="Calibri" w:eastAsia="Calibri" w:hAnsi="Calibri" w:cs="Calibri"/>
          <w:b/>
          <w:bCs/>
          <w:sz w:val="24"/>
          <w:szCs w:val="24"/>
        </w:rPr>
      </w:pPr>
      <w:bookmarkStart w:id="17" w:name="_5h2910enuwdi" w:colFirst="0" w:colLast="0"/>
      <w:bookmarkEnd w:id="17"/>
      <w:r>
        <w:rPr>
          <w:rFonts w:ascii="Calibri" w:eastAsia="Calibri" w:hAnsi="Calibri" w:cs="Calibri"/>
          <w:b/>
          <w:bCs/>
          <w:sz w:val="24"/>
          <w:szCs w:val="24"/>
        </w:rPr>
        <w:t>References (Appendix B)</w:t>
      </w:r>
    </w:p>
    <w:p w14:paraId="5B77CFAF" w14:textId="77777777" w:rsidR="00F57F64" w:rsidRDefault="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r>
        <w:rPr>
          <w:rFonts w:ascii="Calibri" w:eastAsia="Calibri" w:hAnsi="Calibri" w:cs="Calibri"/>
          <w:sz w:val="24"/>
          <w:szCs w:val="24"/>
        </w:rPr>
        <w:t xml:space="preserve">Aromataris, E., Lockwood, C., Porritt, K., Pilla, B., &amp; Jordan, Z. (Eds.). (2024). JBI Manual for Evidence Synthesis. JBI. </w:t>
      </w:r>
      <w:hyperlink r:id="rId5">
        <w:r>
          <w:rPr>
            <w:rFonts w:ascii="Calibri" w:eastAsia="Calibri" w:hAnsi="Calibri" w:cs="Calibri"/>
            <w:color w:val="1155CC"/>
            <w:sz w:val="24"/>
            <w:szCs w:val="24"/>
            <w:u w:val="single"/>
          </w:rPr>
          <w:t>https://synthesismanual.jbi.global</w:t>
        </w:r>
      </w:hyperlink>
      <w:hyperlink r:id="rId6">
        <w:r>
          <w:rPr>
            <w:rFonts w:ascii="Calibri" w:eastAsia="Calibri" w:hAnsi="Calibri" w:cs="Calibri"/>
            <w:color w:val="1155CC"/>
            <w:sz w:val="24"/>
            <w:szCs w:val="24"/>
          </w:rPr>
          <w:t>1</w:t>
        </w:r>
      </w:hyperlink>
    </w:p>
    <w:p w14:paraId="5B77CFB0" w14:textId="77777777" w:rsidR="00F57F64" w:rsidRDefault="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r>
        <w:rPr>
          <w:rFonts w:ascii="Calibri" w:eastAsia="Calibri" w:hAnsi="Calibri" w:cs="Calibri"/>
          <w:sz w:val="24"/>
          <w:szCs w:val="24"/>
        </w:rPr>
        <w:t>Viswanathan, M., Patnode, C. D., Berkman, N. D., Bass, E. B., Chang, S., Hartling, L., Murad, M. H., Treadwell, J. R., &amp; Kane, R. L. (2018). Recommendations for assessing the risk of bias in systematic reviews of health-care interventions. Journal of Clini</w:t>
      </w:r>
      <w:r>
        <w:rPr>
          <w:rFonts w:ascii="Calibri" w:eastAsia="Calibri" w:hAnsi="Calibri" w:cs="Calibri"/>
          <w:sz w:val="24"/>
          <w:szCs w:val="24"/>
        </w:rPr>
        <w:t xml:space="preserve">cal Epidemiology, 97, 26–34. </w:t>
      </w:r>
      <w:hyperlink r:id="rId7">
        <w:r>
          <w:rPr>
            <w:rFonts w:ascii="Calibri" w:eastAsia="Calibri" w:hAnsi="Calibri" w:cs="Calibri"/>
            <w:color w:val="1155CC"/>
            <w:sz w:val="24"/>
            <w:szCs w:val="24"/>
            <w:u w:val="single"/>
          </w:rPr>
          <w:t>https://doi.org/10.1016/j.jclinepi.2017.12.004</w:t>
        </w:r>
      </w:hyperlink>
      <w:hyperlink r:id="rId8">
        <w:r>
          <w:rPr>
            <w:rFonts w:ascii="Calibri" w:eastAsia="Calibri" w:hAnsi="Calibri" w:cs="Calibri"/>
            <w:color w:val="1155CC"/>
            <w:sz w:val="24"/>
            <w:szCs w:val="24"/>
          </w:rPr>
          <w:t>2</w:t>
        </w:r>
      </w:hyperlink>
    </w:p>
    <w:p w14:paraId="5B77CFB1" w14:textId="77777777" w:rsidR="00F57F64" w:rsidRDefault="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sz w:val="24"/>
          <w:szCs w:val="24"/>
        </w:rPr>
      </w:pPr>
      <w:r>
        <w:rPr>
          <w:rFonts w:ascii="Calibri" w:eastAsia="Calibri" w:hAnsi="Calibri" w:cs="Calibri"/>
          <w:sz w:val="24"/>
          <w:szCs w:val="24"/>
        </w:rPr>
        <w:t xml:space="preserve">Agency for Healthcare Research and Quality. (2011). Assessing the risk of bias of individual studies when comparing medical interventions. https://effectivehealthcare.ahrq.gov/sites/default/files/assessing-the-risk-of-bias_draft-report.pdf </w:t>
      </w:r>
    </w:p>
    <w:p w14:paraId="5B77CFB2" w14:textId="77777777" w:rsidR="00F57F64" w:rsidRDefault="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r>
        <w:rPr>
          <w:rFonts w:ascii="Calibri" w:eastAsia="Calibri" w:hAnsi="Calibri" w:cs="Calibri"/>
          <w:sz w:val="24"/>
          <w:szCs w:val="24"/>
        </w:rPr>
        <w:t xml:space="preserve">Higgins, J. P. T., Thomas, J., Chandler, J., Cumpston, M., Li, T., Page, M. J., &amp; Welch, V. A. (Eds.). (2024). Cochrane Handbook for Systematic Reviews of Interventions (version 6.5, updated August 2024). Cochrane. </w:t>
      </w:r>
      <w:hyperlink r:id="rId9">
        <w:r>
          <w:rPr>
            <w:rFonts w:ascii="Calibri" w:eastAsia="Calibri" w:hAnsi="Calibri" w:cs="Calibri"/>
            <w:color w:val="1155CC"/>
            <w:sz w:val="24"/>
            <w:szCs w:val="24"/>
            <w:u w:val="single"/>
          </w:rPr>
          <w:t>https://training.cochrane.org/handbook</w:t>
        </w:r>
      </w:hyperlink>
      <w:hyperlink r:id="rId10">
        <w:r>
          <w:rPr>
            <w:rFonts w:ascii="Calibri" w:eastAsia="Calibri" w:hAnsi="Calibri" w:cs="Calibri"/>
            <w:color w:val="1155CC"/>
            <w:sz w:val="24"/>
            <w:szCs w:val="24"/>
          </w:rPr>
          <w:t>3</w:t>
        </w:r>
      </w:hyperlink>
    </w:p>
    <w:p w14:paraId="5B77CFB3"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4FF8FC03" w14:textId="6F546F24" w:rsidR="003E36D7" w:rsidRPr="003E36D7" w:rsidRDefault="003E36D7" w:rsidP="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tbl>
      <w:tblPr>
        <w:tblStyle w:val="a0"/>
        <w:tblpPr w:leftFromText="180" w:rightFromText="180" w:topFromText="180" w:bottomFromText="180" w:vertAnchor="text"/>
        <w:tblW w:w="90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845"/>
        <w:gridCol w:w="1245"/>
      </w:tblGrid>
      <w:tr w:rsidR="003E36D7" w14:paraId="43EDAAE3" w14:textId="77777777" w:rsidTr="00EB5E60">
        <w:trPr>
          <w:trHeight w:val="253"/>
        </w:trPr>
        <w:tc>
          <w:tcPr>
            <w:tcW w:w="9090" w:type="dxa"/>
            <w:gridSpan w:val="2"/>
            <w:tcMar>
              <w:top w:w="40" w:type="dxa"/>
              <w:left w:w="40" w:type="dxa"/>
              <w:bottom w:w="40" w:type="dxa"/>
              <w:right w:w="40" w:type="dxa"/>
            </w:tcMar>
          </w:tcPr>
          <w:p w14:paraId="1DD65E55" w14:textId="5D343C63" w:rsidR="003E36D7" w:rsidRPr="003E36D7" w:rsidRDefault="003E36D7" w:rsidP="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b/>
                <w:bCs/>
                <w:sz w:val="24"/>
                <w:szCs w:val="24"/>
              </w:rPr>
            </w:pPr>
            <w:r>
              <w:rPr>
                <w:rFonts w:ascii="Calibri" w:eastAsia="Calibri" w:hAnsi="Calibri" w:cs="Calibri"/>
                <w:b/>
                <w:bCs/>
                <w:sz w:val="24"/>
                <w:szCs w:val="24"/>
              </w:rPr>
              <w:lastRenderedPageBreak/>
              <w:t xml:space="preserve"> </w:t>
            </w:r>
            <w:r>
              <w:rPr>
                <w:rFonts w:ascii="Calibri" w:eastAsia="Calibri" w:hAnsi="Calibri" w:cs="Calibri"/>
                <w:b/>
                <w:bCs/>
                <w:sz w:val="24"/>
                <w:szCs w:val="24"/>
              </w:rPr>
              <w:t>APPENDIX C: Summary of the included studies, including references, aims and overall risk of bias (RoB) score</w:t>
            </w:r>
          </w:p>
        </w:tc>
      </w:tr>
      <w:tr w:rsidR="00F57F64" w14:paraId="5B77CFBF" w14:textId="77777777">
        <w:trPr>
          <w:trHeight w:val="253"/>
        </w:trPr>
        <w:tc>
          <w:tcPr>
            <w:tcW w:w="7845" w:type="dxa"/>
            <w:tcMar>
              <w:top w:w="40" w:type="dxa"/>
              <w:left w:w="40" w:type="dxa"/>
              <w:bottom w:w="40" w:type="dxa"/>
              <w:right w:w="40" w:type="dxa"/>
            </w:tcMar>
          </w:tcPr>
          <w:p w14:paraId="5B77CFBD" w14:textId="77777777" w:rsidR="00F57F64" w:rsidRDefault="003E36D7">
            <w:pPr>
              <w:widowControl w:val="0"/>
              <w:jc w:val="center"/>
              <w:rPr>
                <w:rFonts w:ascii="Calibri" w:eastAsia="Calibri" w:hAnsi="Calibri" w:cs="Calibri"/>
                <w:b/>
                <w:bCs/>
                <w:sz w:val="20"/>
                <w:szCs w:val="20"/>
              </w:rPr>
            </w:pPr>
            <w:r>
              <w:rPr>
                <w:rFonts w:ascii="Calibri" w:eastAsia="Calibri" w:hAnsi="Calibri" w:cs="Calibri"/>
                <w:b/>
                <w:bCs/>
                <w:sz w:val="20"/>
                <w:szCs w:val="20"/>
              </w:rPr>
              <w:t>Aims</w:t>
            </w:r>
          </w:p>
        </w:tc>
        <w:tc>
          <w:tcPr>
            <w:tcW w:w="1245" w:type="dxa"/>
            <w:tcMar>
              <w:top w:w="40" w:type="dxa"/>
              <w:left w:w="40" w:type="dxa"/>
              <w:bottom w:w="40" w:type="dxa"/>
              <w:right w:w="40" w:type="dxa"/>
            </w:tcMar>
          </w:tcPr>
          <w:p w14:paraId="5B77CFBE" w14:textId="77777777" w:rsidR="00F57F64" w:rsidRDefault="003E36D7">
            <w:pPr>
              <w:widowControl w:val="0"/>
              <w:jc w:val="center"/>
              <w:rPr>
                <w:rFonts w:ascii="Calibri" w:eastAsia="Calibri" w:hAnsi="Calibri" w:cs="Calibri"/>
                <w:b/>
                <w:bCs/>
                <w:sz w:val="20"/>
                <w:szCs w:val="20"/>
              </w:rPr>
            </w:pPr>
            <w:r>
              <w:rPr>
                <w:rFonts w:ascii="Calibri" w:eastAsia="Calibri" w:hAnsi="Calibri" w:cs="Calibri"/>
                <w:b/>
                <w:bCs/>
                <w:sz w:val="20"/>
                <w:szCs w:val="20"/>
              </w:rPr>
              <w:t>Risk of Bias Asses</w:t>
            </w:r>
            <w:r>
              <w:rPr>
                <w:rFonts w:ascii="Calibri" w:eastAsia="Calibri" w:hAnsi="Calibri" w:cs="Calibri"/>
                <w:b/>
                <w:bCs/>
                <w:sz w:val="20"/>
                <w:szCs w:val="20"/>
              </w:rPr>
              <w:t>sment</w:t>
            </w:r>
          </w:p>
        </w:tc>
      </w:tr>
      <w:tr w:rsidR="00F57F64" w14:paraId="5B77CFC2" w14:textId="77777777">
        <w:trPr>
          <w:cantSplit/>
          <w:trHeight w:val="795"/>
        </w:trPr>
        <w:tc>
          <w:tcPr>
            <w:tcW w:w="7845" w:type="dxa"/>
            <w:tcBorders>
              <w:left w:val="single" w:sz="6" w:space="0" w:color="000000"/>
            </w:tcBorders>
            <w:tcMar>
              <w:top w:w="40" w:type="dxa"/>
              <w:left w:w="40" w:type="dxa"/>
              <w:bottom w:w="40" w:type="dxa"/>
              <w:right w:w="40" w:type="dxa"/>
            </w:tcMar>
          </w:tcPr>
          <w:p w14:paraId="5B77CFC0"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analyze the usefulness of debriefing as an instructional strategy during observed structured clinical examination (OSCE) conducted at the end of two consecutive modules of first year students of Bachelor of Medicine and Bachelor of Surgery (MBBS) (Ali e</w:t>
            </w:r>
            <w:r>
              <w:rPr>
                <w:rFonts w:ascii="Calibri" w:eastAsia="Calibri" w:hAnsi="Calibri" w:cs="Calibri"/>
                <w:sz w:val="18"/>
                <w:szCs w:val="18"/>
              </w:rPr>
              <w:t>t al, 2015)</w:t>
            </w:r>
            <w:r>
              <w:rPr>
                <w:rFonts w:ascii="Calibri" w:eastAsia="Calibri" w:hAnsi="Calibri" w:cs="Calibri"/>
                <w:sz w:val="18"/>
                <w:szCs w:val="18"/>
                <w:vertAlign w:val="superscript"/>
              </w:rPr>
              <w:t>19</w:t>
            </w:r>
          </w:p>
        </w:tc>
        <w:tc>
          <w:tcPr>
            <w:tcW w:w="1245" w:type="dxa"/>
            <w:tcMar>
              <w:top w:w="40" w:type="dxa"/>
              <w:left w:w="40" w:type="dxa"/>
              <w:bottom w:w="40" w:type="dxa"/>
              <w:right w:w="40" w:type="dxa"/>
            </w:tcMar>
          </w:tcPr>
          <w:p w14:paraId="5B77CFC1"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0FF" wp14:editId="5B77D100">
                      <wp:extent cx="309563" cy="282408"/>
                      <wp:effectExtent l="0" t="0" r="0" b="0"/>
                      <wp:docPr id="31"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1"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1" name="image31.png"/>
                      <a:graphic>
                        <a:graphicData uri="http://schemas.openxmlformats.org/drawingml/2006/picture">
                          <pic:pic>
                            <pic:nvPicPr>
                              <pic:cNvPr id="0" name="image31.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C5" w14:textId="77777777">
        <w:trPr>
          <w:trHeight w:val="473"/>
        </w:trPr>
        <w:tc>
          <w:tcPr>
            <w:tcW w:w="7845" w:type="dxa"/>
            <w:tcBorders>
              <w:left w:val="single" w:sz="6" w:space="0" w:color="000000"/>
            </w:tcBorders>
            <w:tcMar>
              <w:top w:w="40" w:type="dxa"/>
              <w:left w:w="40" w:type="dxa"/>
              <w:bottom w:w="40" w:type="dxa"/>
              <w:right w:w="40" w:type="dxa"/>
            </w:tcMar>
          </w:tcPr>
          <w:p w14:paraId="5B77CFC3"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radiology residents’ knowledge, hands-on skills, and integration of knowledge into clinical decision making and evaluate their self-efficacy(SE) as a measure for competency using Game based (GB) simulation training program (Ali et al, 2021)</w:t>
            </w:r>
            <w:r>
              <w:rPr>
                <w:rFonts w:ascii="Calibri" w:eastAsia="Calibri" w:hAnsi="Calibri" w:cs="Calibri"/>
                <w:sz w:val="18"/>
                <w:szCs w:val="18"/>
                <w:vertAlign w:val="superscript"/>
              </w:rPr>
              <w:t>20</w:t>
            </w:r>
          </w:p>
        </w:tc>
        <w:tc>
          <w:tcPr>
            <w:tcW w:w="1245" w:type="dxa"/>
            <w:tcMar>
              <w:top w:w="40" w:type="dxa"/>
              <w:left w:w="40" w:type="dxa"/>
              <w:bottom w:w="40" w:type="dxa"/>
              <w:right w:w="40" w:type="dxa"/>
            </w:tcMar>
          </w:tcPr>
          <w:p w14:paraId="5B77CFC4"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01" wp14:editId="5B77D102">
                      <wp:extent cx="309563" cy="282408"/>
                      <wp:effectExtent l="0" t="0" r="0" b="0"/>
                      <wp:docPr id="62"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2"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2" name="image62.png"/>
                      <a:graphic>
                        <a:graphicData uri="http://schemas.openxmlformats.org/drawingml/2006/picture">
                          <pic:pic>
                            <pic:nvPicPr>
                              <pic:cNvPr id="0" name="image62.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C8" w14:textId="77777777">
        <w:tc>
          <w:tcPr>
            <w:tcW w:w="7845" w:type="dxa"/>
            <w:tcBorders>
              <w:left w:val="single" w:sz="6" w:space="0" w:color="000000"/>
            </w:tcBorders>
            <w:tcMar>
              <w:top w:w="40" w:type="dxa"/>
              <w:left w:w="40" w:type="dxa"/>
              <w:bottom w:w="40" w:type="dxa"/>
              <w:right w:w="40" w:type="dxa"/>
            </w:tcMar>
          </w:tcPr>
          <w:p w14:paraId="5B77CFC6" w14:textId="77777777" w:rsidR="00F57F64" w:rsidRDefault="003E36D7">
            <w:pPr>
              <w:widowControl w:val="0"/>
              <w:rPr>
                <w:rFonts w:ascii="Calibri" w:eastAsia="Calibri" w:hAnsi="Calibri" w:cs="Calibri"/>
                <w:sz w:val="18"/>
                <w:szCs w:val="18"/>
              </w:rPr>
            </w:pPr>
            <w:r>
              <w:rPr>
                <w:rFonts w:ascii="Calibri" w:eastAsia="Calibri" w:hAnsi="Calibri" w:cs="Calibri"/>
                <w:sz w:val="18"/>
                <w:szCs w:val="18"/>
              </w:rPr>
              <w:t>To improve morbidity and mortality of burns using escharotomy simulator (Ali et al, 2008)</w:t>
            </w:r>
            <w:r>
              <w:rPr>
                <w:rFonts w:ascii="Calibri" w:eastAsia="Calibri" w:hAnsi="Calibri" w:cs="Calibri"/>
                <w:sz w:val="18"/>
                <w:szCs w:val="18"/>
                <w:vertAlign w:val="superscript"/>
              </w:rPr>
              <w:t>21</w:t>
            </w:r>
          </w:p>
        </w:tc>
        <w:tc>
          <w:tcPr>
            <w:tcW w:w="1245" w:type="dxa"/>
            <w:tcMar>
              <w:top w:w="40" w:type="dxa"/>
              <w:left w:w="40" w:type="dxa"/>
              <w:bottom w:w="40" w:type="dxa"/>
              <w:right w:w="40" w:type="dxa"/>
            </w:tcMar>
          </w:tcPr>
          <w:p w14:paraId="5B77CFC7"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03" wp14:editId="5B77D104">
                      <wp:extent cx="309563" cy="282408"/>
                      <wp:effectExtent l="0" t="0" r="0" b="0"/>
                      <wp:docPr id="10"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3"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0"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CB" w14:textId="77777777">
        <w:trPr>
          <w:trHeight w:val="87"/>
        </w:trPr>
        <w:tc>
          <w:tcPr>
            <w:tcW w:w="7845" w:type="dxa"/>
            <w:tcBorders>
              <w:left w:val="single" w:sz="6" w:space="0" w:color="000000"/>
            </w:tcBorders>
            <w:tcMar>
              <w:top w:w="40" w:type="dxa"/>
              <w:left w:w="40" w:type="dxa"/>
              <w:bottom w:w="40" w:type="dxa"/>
              <w:right w:w="40" w:type="dxa"/>
            </w:tcMar>
          </w:tcPr>
          <w:p w14:paraId="5B77CFC9"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compare knowledge, procedural, and communication skills of medical students regarding intrauterine contraceptive device (IUCD) insertion before and after introducing hybrid simulation training and to assess learner satisfaction with the new teaching met</w:t>
            </w:r>
            <w:r>
              <w:rPr>
                <w:rFonts w:ascii="Calibri" w:eastAsia="Calibri" w:hAnsi="Calibri" w:cs="Calibri"/>
                <w:sz w:val="18"/>
                <w:szCs w:val="18"/>
              </w:rPr>
              <w:t>hodology (Amerjee et al, 2018)</w:t>
            </w:r>
            <w:r>
              <w:rPr>
                <w:rFonts w:ascii="Calibri" w:eastAsia="Calibri" w:hAnsi="Calibri" w:cs="Calibri"/>
                <w:sz w:val="18"/>
                <w:szCs w:val="18"/>
                <w:vertAlign w:val="superscript"/>
              </w:rPr>
              <w:t>22</w:t>
            </w:r>
          </w:p>
        </w:tc>
        <w:tc>
          <w:tcPr>
            <w:tcW w:w="1245" w:type="dxa"/>
            <w:tcMar>
              <w:top w:w="40" w:type="dxa"/>
              <w:left w:w="40" w:type="dxa"/>
              <w:bottom w:w="40" w:type="dxa"/>
              <w:right w:w="40" w:type="dxa"/>
            </w:tcMar>
          </w:tcPr>
          <w:p w14:paraId="5B77CFCA"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05" wp14:editId="5B77D106">
                      <wp:extent cx="309563" cy="282408"/>
                      <wp:effectExtent l="0" t="0" r="0" b="0"/>
                      <wp:docPr id="13"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4"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3"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CE" w14:textId="77777777">
        <w:tc>
          <w:tcPr>
            <w:tcW w:w="7845" w:type="dxa"/>
            <w:tcBorders>
              <w:left w:val="single" w:sz="6" w:space="0" w:color="000000"/>
            </w:tcBorders>
            <w:tcMar>
              <w:top w:w="40" w:type="dxa"/>
              <w:left w:w="40" w:type="dxa"/>
              <w:bottom w:w="40" w:type="dxa"/>
              <w:right w:w="40" w:type="dxa"/>
            </w:tcMar>
          </w:tcPr>
          <w:p w14:paraId="5B77CFCC"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determine if acquisition and retention of laparoscopic skills were superior with multiple training encounters as compared to a single training session of similar duration and to identify the factors influencing learning laparoscopic skills in naïve medi</w:t>
            </w:r>
            <w:r>
              <w:rPr>
                <w:rFonts w:ascii="Calibri" w:eastAsia="Calibri" w:hAnsi="Calibri" w:cs="Calibri"/>
                <w:sz w:val="18"/>
                <w:szCs w:val="18"/>
              </w:rPr>
              <w:t>cal students (Arain et al, 2022)</w:t>
            </w:r>
            <w:r>
              <w:rPr>
                <w:rFonts w:ascii="Calibri" w:eastAsia="Calibri" w:hAnsi="Calibri" w:cs="Calibri"/>
                <w:sz w:val="18"/>
                <w:szCs w:val="18"/>
                <w:vertAlign w:val="superscript"/>
              </w:rPr>
              <w:t>23</w:t>
            </w:r>
          </w:p>
        </w:tc>
        <w:tc>
          <w:tcPr>
            <w:tcW w:w="1245" w:type="dxa"/>
            <w:tcMar>
              <w:top w:w="40" w:type="dxa"/>
              <w:left w:w="40" w:type="dxa"/>
              <w:bottom w:w="40" w:type="dxa"/>
              <w:right w:w="40" w:type="dxa"/>
            </w:tcMar>
          </w:tcPr>
          <w:p w14:paraId="5B77CFCD"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07" wp14:editId="5B77D108">
                      <wp:extent cx="309563" cy="282408"/>
                      <wp:effectExtent l="0" t="0" r="0" b="0"/>
                      <wp:docPr id="38"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5"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8" name="image38.png"/>
                      <a:graphic>
                        <a:graphicData uri="http://schemas.openxmlformats.org/drawingml/2006/picture">
                          <pic:pic>
                            <pic:nvPicPr>
                              <pic:cNvPr id="0" name="image38.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D1" w14:textId="77777777">
        <w:trPr>
          <w:trHeight w:val="210"/>
        </w:trPr>
        <w:tc>
          <w:tcPr>
            <w:tcW w:w="7845" w:type="dxa"/>
            <w:tcBorders>
              <w:left w:val="single" w:sz="6" w:space="0" w:color="000000"/>
            </w:tcBorders>
            <w:tcMar>
              <w:top w:w="40" w:type="dxa"/>
              <w:left w:w="40" w:type="dxa"/>
              <w:bottom w:w="40" w:type="dxa"/>
              <w:right w:w="40" w:type="dxa"/>
            </w:tcMar>
          </w:tcPr>
          <w:p w14:paraId="5B77CFCF"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attitude of final-year medical students and interns toward Digital Rectal Examination(DRE) and to provide an overview of teaching practices. (Asif et al, 2015)</w:t>
            </w:r>
            <w:r>
              <w:rPr>
                <w:rFonts w:ascii="Calibri" w:eastAsia="Calibri" w:hAnsi="Calibri" w:cs="Calibri"/>
                <w:sz w:val="18"/>
                <w:szCs w:val="18"/>
                <w:vertAlign w:val="superscript"/>
              </w:rPr>
              <w:t>24</w:t>
            </w:r>
          </w:p>
        </w:tc>
        <w:tc>
          <w:tcPr>
            <w:tcW w:w="1245" w:type="dxa"/>
            <w:tcMar>
              <w:top w:w="40" w:type="dxa"/>
              <w:left w:w="40" w:type="dxa"/>
              <w:bottom w:w="40" w:type="dxa"/>
              <w:right w:w="40" w:type="dxa"/>
            </w:tcMar>
          </w:tcPr>
          <w:p w14:paraId="5B77CFD0"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09" wp14:editId="5B77D10A">
                      <wp:extent cx="309563" cy="282408"/>
                      <wp:effectExtent l="0" t="0" r="0" b="0"/>
                      <wp:docPr id="11"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6"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1"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D4" w14:textId="77777777">
        <w:trPr>
          <w:trHeight w:val="840"/>
        </w:trPr>
        <w:tc>
          <w:tcPr>
            <w:tcW w:w="7845" w:type="dxa"/>
            <w:tcBorders>
              <w:left w:val="single" w:sz="6" w:space="0" w:color="000000"/>
            </w:tcBorders>
            <w:tcMar>
              <w:top w:w="40" w:type="dxa"/>
              <w:left w:w="40" w:type="dxa"/>
              <w:bottom w:w="40" w:type="dxa"/>
              <w:right w:w="40" w:type="dxa"/>
            </w:tcMar>
          </w:tcPr>
          <w:p w14:paraId="5B77CFD2"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knowledge and skills of emergency medicine (EM) physicians after a brief training workshop on an extended focused assessment with sonography in trauma, including high-fidelity simulators, in a tertiary care teaching hospital in Karachi, Pakis</w:t>
            </w:r>
            <w:r>
              <w:rPr>
                <w:rFonts w:ascii="Calibri" w:eastAsia="Calibri" w:hAnsi="Calibri" w:cs="Calibri"/>
                <w:sz w:val="18"/>
                <w:szCs w:val="18"/>
              </w:rPr>
              <w:t>tan (Azizi et al, 2020)</w:t>
            </w:r>
            <w:r>
              <w:rPr>
                <w:rFonts w:ascii="Calibri" w:eastAsia="Calibri" w:hAnsi="Calibri" w:cs="Calibri"/>
                <w:sz w:val="18"/>
                <w:szCs w:val="18"/>
                <w:vertAlign w:val="superscript"/>
              </w:rPr>
              <w:t>25</w:t>
            </w:r>
          </w:p>
        </w:tc>
        <w:tc>
          <w:tcPr>
            <w:tcW w:w="1245" w:type="dxa"/>
            <w:tcMar>
              <w:top w:w="40" w:type="dxa"/>
              <w:left w:w="40" w:type="dxa"/>
              <w:bottom w:w="40" w:type="dxa"/>
              <w:right w:w="40" w:type="dxa"/>
            </w:tcMar>
          </w:tcPr>
          <w:p w14:paraId="5B77CFD3"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0B" wp14:editId="5B77D10C">
                      <wp:extent cx="309563" cy="282408"/>
                      <wp:effectExtent l="0" t="0" r="0" b="0"/>
                      <wp:docPr id="3"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7"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D7" w14:textId="77777777">
        <w:trPr>
          <w:trHeight w:val="15"/>
        </w:trPr>
        <w:tc>
          <w:tcPr>
            <w:tcW w:w="7845" w:type="dxa"/>
            <w:tcBorders>
              <w:left w:val="single" w:sz="6" w:space="0" w:color="000000"/>
            </w:tcBorders>
            <w:tcMar>
              <w:top w:w="40" w:type="dxa"/>
              <w:left w:w="40" w:type="dxa"/>
              <w:bottom w:w="40" w:type="dxa"/>
              <w:right w:w="40" w:type="dxa"/>
            </w:tcMar>
          </w:tcPr>
          <w:p w14:paraId="5B77CFD5"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construct and deliver a professional development program using Complex Adaptive Systems (CAS) theory to a Pakistani medical college faculty to use simulation according to the Healthcare Standards of Best Practices (Bajwa et al, 2023)</w:t>
            </w:r>
            <w:r>
              <w:rPr>
                <w:rFonts w:ascii="Calibri" w:eastAsia="Calibri" w:hAnsi="Calibri" w:cs="Calibri"/>
                <w:sz w:val="18"/>
                <w:szCs w:val="18"/>
                <w:vertAlign w:val="superscript"/>
              </w:rPr>
              <w:t>26</w:t>
            </w:r>
          </w:p>
        </w:tc>
        <w:tc>
          <w:tcPr>
            <w:tcW w:w="1245" w:type="dxa"/>
            <w:tcMar>
              <w:top w:w="40" w:type="dxa"/>
              <w:left w:w="40" w:type="dxa"/>
              <w:bottom w:w="40" w:type="dxa"/>
              <w:right w:w="40" w:type="dxa"/>
            </w:tcMar>
          </w:tcPr>
          <w:p w14:paraId="5B77CFD6"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0D" wp14:editId="5B77D10E">
                      <wp:extent cx="309563" cy="313892"/>
                      <wp:effectExtent l="0" t="0" r="0" b="0"/>
                      <wp:docPr id="30"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00FF00"/>
                              </a:solidFill>
                              <a:ln w="9525" cap="flat" cmpd="sng">
                                <a:solidFill>
                                  <a:srgbClr val="000000"/>
                                </a:solidFill>
                                <a:prstDash val="solid"/>
                                <a:round/>
                                <a:headEnd type="none" w="sm" len="sm"/>
                                <a:tailEnd type="none" w="sm" len="sm"/>
                              </a:ln>
                            </wps:spPr>
                            <wps:txbx>
                              <w:txbxContent>
                                <w:p w14:paraId="5B77D198"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313892"/>
                      <wp:effectExtent b="0" l="0" r="0" t="0"/>
                      <wp:docPr id="30" name="image30.png"/>
                      <a:graphic>
                        <a:graphicData uri="http://schemas.openxmlformats.org/drawingml/2006/picture">
                          <pic:pic>
                            <pic:nvPicPr>
                              <pic:cNvPr id="0" name="image30.png"/>
                              <pic:cNvPicPr preferRelativeResize="0"/>
                            </pic:nvPicPr>
                            <pic:blipFill>
                              <a:blip r:embed="rId12"/>
                              <a:srcRect/>
                              <a:stretch>
                                <a:fillRect/>
                              </a:stretch>
                            </pic:blipFill>
                            <pic:spPr>
                              <a:xfrm>
                                <a:off x="0" y="0"/>
                                <a:ext cx="309563" cy="313892"/>
                              </a:xfrm>
                              <a:prstGeom prst="rect"/>
                              <a:ln/>
                            </pic:spPr>
                          </pic:pic>
                        </a:graphicData>
                      </a:graphic>
                    </wp:inline>
                  </w:drawing>
                </mc:Fallback>
              </mc:AlternateContent>
            </w:r>
          </w:p>
        </w:tc>
      </w:tr>
      <w:tr w:rsidR="00F57F64" w14:paraId="5B77CFDA" w14:textId="77777777">
        <w:trPr>
          <w:trHeight w:val="15"/>
        </w:trPr>
        <w:tc>
          <w:tcPr>
            <w:tcW w:w="7845" w:type="dxa"/>
            <w:tcBorders>
              <w:left w:val="single" w:sz="6" w:space="0" w:color="000000"/>
            </w:tcBorders>
            <w:tcMar>
              <w:top w:w="40" w:type="dxa"/>
              <w:left w:w="40" w:type="dxa"/>
              <w:bottom w:w="40" w:type="dxa"/>
              <w:right w:w="40" w:type="dxa"/>
            </w:tcMar>
          </w:tcPr>
          <w:p w14:paraId="5B77CFD8"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effectiveness of structured bootcamp on the knowledge and procedural skills of the participating neurosurgery residents (Bakhshi et al, 2022)</w:t>
            </w:r>
            <w:r>
              <w:rPr>
                <w:rFonts w:ascii="Calibri" w:eastAsia="Calibri" w:hAnsi="Calibri" w:cs="Calibri"/>
                <w:sz w:val="18"/>
                <w:szCs w:val="18"/>
                <w:vertAlign w:val="superscript"/>
              </w:rPr>
              <w:t>27</w:t>
            </w:r>
          </w:p>
        </w:tc>
        <w:tc>
          <w:tcPr>
            <w:tcW w:w="1245" w:type="dxa"/>
            <w:tcMar>
              <w:top w:w="40" w:type="dxa"/>
              <w:left w:w="40" w:type="dxa"/>
              <w:bottom w:w="40" w:type="dxa"/>
              <w:right w:w="40" w:type="dxa"/>
            </w:tcMar>
          </w:tcPr>
          <w:p w14:paraId="5B77CFD9"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0F" wp14:editId="5B77D110">
                      <wp:extent cx="309563" cy="282408"/>
                      <wp:effectExtent l="0" t="0" r="0" b="0"/>
                      <wp:docPr id="36"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9"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6" name="image36.png"/>
                      <a:graphic>
                        <a:graphicData uri="http://schemas.openxmlformats.org/drawingml/2006/picture">
                          <pic:pic>
                            <pic:nvPicPr>
                              <pic:cNvPr id="0" name="image36.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DD" w14:textId="77777777">
        <w:trPr>
          <w:trHeight w:val="15"/>
        </w:trPr>
        <w:tc>
          <w:tcPr>
            <w:tcW w:w="7845" w:type="dxa"/>
            <w:tcBorders>
              <w:left w:val="single" w:sz="6" w:space="0" w:color="000000"/>
            </w:tcBorders>
            <w:tcMar>
              <w:top w:w="40" w:type="dxa"/>
              <w:left w:w="40" w:type="dxa"/>
              <w:bottom w:w="40" w:type="dxa"/>
              <w:right w:w="40" w:type="dxa"/>
            </w:tcMar>
          </w:tcPr>
          <w:p w14:paraId="5B77CFDB"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evaluate the effectiveness of case‑based simulation teaching to improve the family medici</w:t>
            </w:r>
            <w:r>
              <w:rPr>
                <w:rFonts w:ascii="Calibri" w:eastAsia="Calibri" w:hAnsi="Calibri" w:cs="Calibri"/>
                <w:sz w:val="18"/>
                <w:szCs w:val="18"/>
              </w:rPr>
              <w:t>ne resident’s urgent care management skills as assessed by an observed structured clinical examination (OSCE) at a teaching hospital (Bhombal et al, 2024)</w:t>
            </w:r>
            <w:r>
              <w:rPr>
                <w:rFonts w:ascii="Calibri" w:eastAsia="Calibri" w:hAnsi="Calibri" w:cs="Calibri"/>
                <w:sz w:val="18"/>
                <w:szCs w:val="18"/>
                <w:vertAlign w:val="superscript"/>
              </w:rPr>
              <w:t>28</w:t>
            </w:r>
          </w:p>
        </w:tc>
        <w:tc>
          <w:tcPr>
            <w:tcW w:w="1245" w:type="dxa"/>
            <w:tcMar>
              <w:top w:w="40" w:type="dxa"/>
              <w:left w:w="40" w:type="dxa"/>
              <w:bottom w:w="40" w:type="dxa"/>
              <w:right w:w="40" w:type="dxa"/>
            </w:tcMar>
          </w:tcPr>
          <w:p w14:paraId="5B77CFDC"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11" wp14:editId="5B77D112">
                      <wp:extent cx="309563" cy="282408"/>
                      <wp:effectExtent l="0" t="0" r="0" b="0"/>
                      <wp:docPr id="26"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A"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6" name="image26.png"/>
                      <a:graphic>
                        <a:graphicData uri="http://schemas.openxmlformats.org/drawingml/2006/picture">
                          <pic:pic>
                            <pic:nvPicPr>
                              <pic:cNvPr id="0" name="image26.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E0" w14:textId="77777777">
        <w:trPr>
          <w:trHeight w:val="975"/>
        </w:trPr>
        <w:tc>
          <w:tcPr>
            <w:tcW w:w="7845" w:type="dxa"/>
            <w:tcBorders>
              <w:left w:val="single" w:sz="6" w:space="0" w:color="000000"/>
            </w:tcBorders>
            <w:tcMar>
              <w:top w:w="40" w:type="dxa"/>
              <w:left w:w="40" w:type="dxa"/>
              <w:bottom w:w="40" w:type="dxa"/>
              <w:right w:w="40" w:type="dxa"/>
            </w:tcMar>
          </w:tcPr>
          <w:p w14:paraId="5B77CFDE"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 xml:space="preserve">To determine whether utilization of mannequins and models for training interns in Obstetrics </w:t>
            </w:r>
            <w:r>
              <w:rPr>
                <w:rFonts w:ascii="Calibri" w:eastAsia="Calibri" w:hAnsi="Calibri" w:cs="Calibri"/>
                <w:sz w:val="18"/>
                <w:szCs w:val="18"/>
              </w:rPr>
              <w:t>and Gynecology in a structured program would result in knowledge and competencies comparable to those training on human subjects primarily, and up to the required standards for certification. (Bhutta et al, 2018)</w:t>
            </w:r>
            <w:r>
              <w:rPr>
                <w:rFonts w:ascii="Calibri" w:eastAsia="Calibri" w:hAnsi="Calibri" w:cs="Calibri"/>
                <w:sz w:val="18"/>
                <w:szCs w:val="18"/>
                <w:vertAlign w:val="superscript"/>
              </w:rPr>
              <w:t>29</w:t>
            </w:r>
          </w:p>
        </w:tc>
        <w:tc>
          <w:tcPr>
            <w:tcW w:w="1245" w:type="dxa"/>
            <w:tcMar>
              <w:top w:w="40" w:type="dxa"/>
              <w:left w:w="40" w:type="dxa"/>
              <w:bottom w:w="40" w:type="dxa"/>
              <w:right w:w="40" w:type="dxa"/>
            </w:tcMar>
          </w:tcPr>
          <w:p w14:paraId="5B77CFDF"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13" wp14:editId="5B77D114">
                      <wp:extent cx="309563" cy="282408"/>
                      <wp:effectExtent l="0" t="0" r="0" b="0"/>
                      <wp:docPr id="34"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B"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4" name="image34.png"/>
                      <a:graphic>
                        <a:graphicData uri="http://schemas.openxmlformats.org/drawingml/2006/picture">
                          <pic:pic>
                            <pic:nvPicPr>
                              <pic:cNvPr id="0" name="image34.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E3" w14:textId="77777777">
        <w:trPr>
          <w:trHeight w:val="150"/>
        </w:trPr>
        <w:tc>
          <w:tcPr>
            <w:tcW w:w="7845" w:type="dxa"/>
            <w:tcBorders>
              <w:left w:val="single" w:sz="6" w:space="0" w:color="000000"/>
            </w:tcBorders>
            <w:tcMar>
              <w:top w:w="40" w:type="dxa"/>
              <w:left w:w="40" w:type="dxa"/>
              <w:bottom w:w="40" w:type="dxa"/>
              <w:right w:w="40" w:type="dxa"/>
            </w:tcMar>
          </w:tcPr>
          <w:p w14:paraId="5B77CFE1"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simulate Laparoscopic skill exercises using High tech computer corporation (HTC) vive sets to give doctors a more real and 360 surgical environment and to assess factors and metrics that could enhance training or performance of participants (Chaudhry et</w:t>
            </w:r>
            <w:r>
              <w:rPr>
                <w:rFonts w:ascii="Calibri" w:eastAsia="Calibri" w:hAnsi="Calibri" w:cs="Calibri"/>
                <w:sz w:val="18"/>
                <w:szCs w:val="18"/>
              </w:rPr>
              <w:t xml:space="preserve"> al, 2020)</w:t>
            </w:r>
            <w:r>
              <w:rPr>
                <w:rFonts w:ascii="Calibri" w:eastAsia="Calibri" w:hAnsi="Calibri" w:cs="Calibri"/>
                <w:sz w:val="18"/>
                <w:szCs w:val="18"/>
                <w:vertAlign w:val="superscript"/>
              </w:rPr>
              <w:t>30</w:t>
            </w:r>
          </w:p>
        </w:tc>
        <w:tc>
          <w:tcPr>
            <w:tcW w:w="1245" w:type="dxa"/>
            <w:tcMar>
              <w:top w:w="40" w:type="dxa"/>
              <w:left w:w="40" w:type="dxa"/>
              <w:bottom w:w="40" w:type="dxa"/>
              <w:right w:w="40" w:type="dxa"/>
            </w:tcMar>
          </w:tcPr>
          <w:p w14:paraId="5B77CFE2"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15" wp14:editId="5B77D116">
                      <wp:extent cx="309563" cy="282408"/>
                      <wp:effectExtent l="0" t="0" r="0" b="0"/>
                      <wp:docPr id="64"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C"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4" name="image64.png"/>
                      <a:graphic>
                        <a:graphicData uri="http://schemas.openxmlformats.org/drawingml/2006/picture">
                          <pic:pic>
                            <pic:nvPicPr>
                              <pic:cNvPr id="0" name="image64.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E7" w14:textId="77777777">
        <w:tc>
          <w:tcPr>
            <w:tcW w:w="7845" w:type="dxa"/>
            <w:tcBorders>
              <w:left w:val="single" w:sz="6" w:space="0" w:color="000000"/>
            </w:tcBorders>
            <w:tcMar>
              <w:top w:w="40" w:type="dxa"/>
              <w:left w:w="40" w:type="dxa"/>
              <w:bottom w:w="40" w:type="dxa"/>
              <w:right w:w="40" w:type="dxa"/>
            </w:tcMar>
          </w:tcPr>
          <w:p w14:paraId="5B77CFE4" w14:textId="77777777" w:rsidR="00F57F64" w:rsidRDefault="003E36D7">
            <w:pPr>
              <w:widowControl w:val="0"/>
              <w:rPr>
                <w:rFonts w:ascii="Calibri" w:eastAsia="Calibri" w:hAnsi="Calibri" w:cs="Calibri"/>
                <w:sz w:val="18"/>
                <w:szCs w:val="18"/>
              </w:rPr>
            </w:pPr>
            <w:r>
              <w:rPr>
                <w:rFonts w:ascii="Calibri" w:eastAsia="Calibri" w:hAnsi="Calibri" w:cs="Calibri"/>
                <w:sz w:val="18"/>
                <w:szCs w:val="18"/>
              </w:rPr>
              <w:t>To achieve consensus on opinions of expert medical educationist on utilization of simulation-</w:t>
            </w:r>
          </w:p>
          <w:p w14:paraId="5B77CFE5"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based interprofessional education as teaching strategy for evidence based practice teaching in undergraduate medical education (Farrukh et al, 2024)</w:t>
            </w:r>
            <w:r>
              <w:rPr>
                <w:rFonts w:ascii="Calibri" w:eastAsia="Calibri" w:hAnsi="Calibri" w:cs="Calibri"/>
                <w:sz w:val="18"/>
                <w:szCs w:val="18"/>
                <w:vertAlign w:val="superscript"/>
              </w:rPr>
              <w:t>31</w:t>
            </w:r>
          </w:p>
        </w:tc>
        <w:tc>
          <w:tcPr>
            <w:tcW w:w="1245" w:type="dxa"/>
            <w:tcMar>
              <w:top w:w="40" w:type="dxa"/>
              <w:left w:w="40" w:type="dxa"/>
              <w:bottom w:w="40" w:type="dxa"/>
              <w:right w:w="40" w:type="dxa"/>
            </w:tcMar>
          </w:tcPr>
          <w:p w14:paraId="5B77CFE6"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17" wp14:editId="5B77D118">
                      <wp:extent cx="309563" cy="282408"/>
                      <wp:effectExtent l="0" t="0" r="0" b="0"/>
                      <wp:docPr id="32"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D"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2" name="image32.png"/>
                      <a:graphic>
                        <a:graphicData uri="http://schemas.openxmlformats.org/drawingml/2006/picture">
                          <pic:pic>
                            <pic:nvPicPr>
                              <pic:cNvPr id="0" name="image32.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EA" w14:textId="77777777">
        <w:trPr>
          <w:trHeight w:val="795"/>
        </w:trPr>
        <w:tc>
          <w:tcPr>
            <w:tcW w:w="7845" w:type="dxa"/>
            <w:tcBorders>
              <w:left w:val="single" w:sz="6" w:space="0" w:color="000000"/>
            </w:tcBorders>
            <w:tcMar>
              <w:top w:w="40" w:type="dxa"/>
              <w:left w:w="40" w:type="dxa"/>
              <w:bottom w:w="40" w:type="dxa"/>
              <w:right w:w="40" w:type="dxa"/>
            </w:tcMar>
          </w:tcPr>
          <w:p w14:paraId="5B77CFE8"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explore the impact of a 6-week-long synchronous distance simulation curriculum in promoting cultural sensitivity (CS) among Pakistani emergency medicine learners and U.S. pediatric emergency medicine (PEM) fellow facilitators from diverse cultural backg</w:t>
            </w:r>
            <w:r>
              <w:rPr>
                <w:rFonts w:ascii="Calibri" w:eastAsia="Calibri" w:hAnsi="Calibri" w:cs="Calibri"/>
                <w:sz w:val="18"/>
                <w:szCs w:val="18"/>
              </w:rPr>
              <w:t>rounds (Fayyaz et al, 2023)</w:t>
            </w:r>
            <w:r>
              <w:rPr>
                <w:rFonts w:ascii="Calibri" w:eastAsia="Calibri" w:hAnsi="Calibri" w:cs="Calibri"/>
                <w:sz w:val="18"/>
                <w:szCs w:val="18"/>
                <w:vertAlign w:val="superscript"/>
              </w:rPr>
              <w:t>32</w:t>
            </w:r>
          </w:p>
        </w:tc>
        <w:tc>
          <w:tcPr>
            <w:tcW w:w="1245" w:type="dxa"/>
            <w:tcMar>
              <w:top w:w="40" w:type="dxa"/>
              <w:left w:w="40" w:type="dxa"/>
              <w:bottom w:w="40" w:type="dxa"/>
              <w:right w:w="40" w:type="dxa"/>
            </w:tcMar>
          </w:tcPr>
          <w:p w14:paraId="5B77CFE9"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19" wp14:editId="5B77D11A">
                      <wp:extent cx="309563" cy="282408"/>
                      <wp:effectExtent l="0" t="0" r="0" b="0"/>
                      <wp:docPr id="52"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E"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2" name="image52.png"/>
                      <a:graphic>
                        <a:graphicData uri="http://schemas.openxmlformats.org/drawingml/2006/picture">
                          <pic:pic>
                            <pic:nvPicPr>
                              <pic:cNvPr id="0" name="image52.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ED" w14:textId="77777777">
        <w:trPr>
          <w:trHeight w:val="15"/>
        </w:trPr>
        <w:tc>
          <w:tcPr>
            <w:tcW w:w="7845" w:type="dxa"/>
            <w:tcBorders>
              <w:left w:val="single" w:sz="6" w:space="0" w:color="000000"/>
            </w:tcBorders>
            <w:tcMar>
              <w:top w:w="40" w:type="dxa"/>
              <w:left w:w="40" w:type="dxa"/>
              <w:bottom w:w="40" w:type="dxa"/>
              <w:right w:w="40" w:type="dxa"/>
            </w:tcMar>
          </w:tcPr>
          <w:p w14:paraId="5B77CFEB"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impact of basic life support (BLS) training on the knowledge of a group of undergraduate medical students (Ghauri et al, 2018)</w:t>
            </w:r>
            <w:r>
              <w:rPr>
                <w:rFonts w:ascii="Calibri" w:eastAsia="Calibri" w:hAnsi="Calibri" w:cs="Calibri"/>
                <w:sz w:val="18"/>
                <w:szCs w:val="18"/>
                <w:vertAlign w:val="superscript"/>
              </w:rPr>
              <w:t>33</w:t>
            </w:r>
          </w:p>
        </w:tc>
        <w:tc>
          <w:tcPr>
            <w:tcW w:w="1245" w:type="dxa"/>
            <w:tcMar>
              <w:top w:w="40" w:type="dxa"/>
              <w:left w:w="40" w:type="dxa"/>
              <w:bottom w:w="40" w:type="dxa"/>
              <w:right w:w="40" w:type="dxa"/>
            </w:tcMar>
          </w:tcPr>
          <w:p w14:paraId="5B77CFEC"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s">
                  <w:drawing>
                    <wp:inline distT="114300" distB="114300" distL="114300" distR="114300" wp14:anchorId="5B77D11B" wp14:editId="5B77D11C">
                      <wp:extent cx="309563" cy="282408"/>
                      <wp:effectExtent l="0" t="0" r="0" b="0"/>
                      <wp:docPr id="17"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9F" w14:textId="606B327C" w:rsidR="00F57F64" w:rsidRDefault="00F57F64">
                                  <w:pPr>
                                    <w:spacing w:line="240" w:lineRule="auto"/>
                                    <w:jc w:val="center"/>
                                    <w:textDirection w:val="btLr"/>
                                  </w:pPr>
                                </w:p>
                                <w:p w14:paraId="0B7CB4B0" w14:textId="138892EC" w:rsidR="003E36D7" w:rsidRDefault="003E36D7">
                                  <w:pPr>
                                    <w:spacing w:line="240" w:lineRule="auto"/>
                                    <w:jc w:val="center"/>
                                    <w:textDirection w:val="btLr"/>
                                  </w:pPr>
                                </w:p>
                                <w:p w14:paraId="79792971" w14:textId="3AF27A2E" w:rsidR="003E36D7" w:rsidRDefault="003E36D7">
                                  <w:pPr>
                                    <w:spacing w:line="240" w:lineRule="auto"/>
                                    <w:jc w:val="center"/>
                                    <w:textDirection w:val="btLr"/>
                                  </w:pPr>
                                </w:p>
                                <w:p w14:paraId="034617E6" w14:textId="77777777" w:rsidR="003E36D7" w:rsidRDefault="003E36D7">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w:pict>
                    <v:oval w14:anchorId="5B77D11B" id="_x0000_s1040" style="width:24.4pt;height: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" fillcolor="red">
                      <v:stroke startarrowwidth="narrow" startarrowlength="short" endarrowwidth="narrow" endarrowlength="short"/>
                      <v:textbox inset="2.53958mm,2.53958mm,2.53958mm,2.53958mm">
                        <w:txbxContent>
                          <w:p w14:paraId="5B77D19F" w14:textId="606B327C" w:rsidR="00F57F64" w:rsidRDefault="00F57F64">
                            <w:pPr>
                              <w:spacing w:line="240" w:lineRule="auto"/>
                              <w:jc w:val="center"/>
                              <w:textDirection w:val="btLr"/>
                            </w:pPr>
                          </w:p>
                          <w:p w14:paraId="0B7CB4B0" w14:textId="138892EC" w:rsidR="003E36D7" w:rsidRDefault="003E36D7">
                            <w:pPr>
                              <w:spacing w:line="240" w:lineRule="auto"/>
                              <w:jc w:val="center"/>
                              <w:textDirection w:val="btLr"/>
                            </w:pPr>
                          </w:p>
                          <w:p w14:paraId="79792971" w14:textId="3AF27A2E" w:rsidR="003E36D7" w:rsidRDefault="003E36D7">
                            <w:pPr>
                              <w:spacing w:line="240" w:lineRule="auto"/>
                              <w:jc w:val="center"/>
                              <w:textDirection w:val="btLr"/>
                            </w:pPr>
                          </w:p>
                          <w:p w14:paraId="034617E6" w14:textId="77777777" w:rsidR="003E36D7" w:rsidRDefault="003E36D7">
                            <w:pPr>
                              <w:spacing w:line="240" w:lineRule="auto"/>
                              <w:jc w:val="center"/>
                              <w:textDirection w:val="btLr"/>
                            </w:pPr>
                          </w:p>
                        </w:txbxContent>
                      </v:textbox>
                      <w10:anchorlock/>
                    </v:oval>
                  </w:pict>
                </mc:Fallback>
              </mc:AlternateContent>
            </w:r>
          </w:p>
        </w:tc>
      </w:tr>
      <w:tr w:rsidR="00F57F64" w14:paraId="5B77CFF0" w14:textId="77777777">
        <w:trPr>
          <w:trHeight w:val="15"/>
        </w:trPr>
        <w:tc>
          <w:tcPr>
            <w:tcW w:w="7845" w:type="dxa"/>
            <w:tcBorders>
              <w:left w:val="single" w:sz="6" w:space="0" w:color="000000"/>
            </w:tcBorders>
            <w:tcMar>
              <w:top w:w="40" w:type="dxa"/>
              <w:left w:w="40" w:type="dxa"/>
              <w:bottom w:w="40" w:type="dxa"/>
              <w:right w:w="40" w:type="dxa"/>
            </w:tcMar>
          </w:tcPr>
          <w:p w14:paraId="5B77CFEE"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lastRenderedPageBreak/>
              <w:t>To evaluate whether or not prior laparoscopic training improves performance during robotic surgery utilising DaVinci robotic skills simulator (Ghazanfar et al, 2021)</w:t>
            </w:r>
            <w:r>
              <w:rPr>
                <w:rFonts w:ascii="Calibri" w:eastAsia="Calibri" w:hAnsi="Calibri" w:cs="Calibri"/>
                <w:sz w:val="18"/>
                <w:szCs w:val="18"/>
                <w:vertAlign w:val="superscript"/>
              </w:rPr>
              <w:t>34</w:t>
            </w:r>
          </w:p>
        </w:tc>
        <w:tc>
          <w:tcPr>
            <w:tcW w:w="1245" w:type="dxa"/>
            <w:tcMar>
              <w:top w:w="40" w:type="dxa"/>
              <w:left w:w="40" w:type="dxa"/>
              <w:bottom w:w="40" w:type="dxa"/>
              <w:right w:w="40" w:type="dxa"/>
            </w:tcMar>
          </w:tcPr>
          <w:p w14:paraId="5B77CFEF"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1D" wp14:editId="5B77D11E">
                      <wp:extent cx="309563" cy="313892"/>
                      <wp:effectExtent l="0" t="0" r="0" b="0"/>
                      <wp:docPr id="37"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9900"/>
                              </a:solidFill>
                              <a:ln w="9525" cap="flat" cmpd="sng">
                                <a:solidFill>
                                  <a:srgbClr val="000000"/>
                                </a:solidFill>
                                <a:prstDash val="solid"/>
                                <a:round/>
                                <a:headEnd type="none" w="sm" len="sm"/>
                                <a:tailEnd type="none" w="sm" len="sm"/>
                              </a:ln>
                            </wps:spPr>
                            <wps:txbx>
                              <w:txbxContent>
                                <w:p w14:paraId="5B77D1A0"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313892"/>
                      <wp:effectExtent b="0" l="0" r="0" t="0"/>
                      <wp:docPr id="37" name="image37.png"/>
                      <a:graphic>
                        <a:graphicData uri="http://schemas.openxmlformats.org/drawingml/2006/picture">
                          <pic:pic>
                            <pic:nvPicPr>
                              <pic:cNvPr id="0" name="image37.png"/>
                              <pic:cNvPicPr preferRelativeResize="0"/>
                            </pic:nvPicPr>
                            <pic:blipFill>
                              <a:blip r:embed="rId12"/>
                              <a:srcRect/>
                              <a:stretch>
                                <a:fillRect/>
                              </a:stretch>
                            </pic:blipFill>
                            <pic:spPr>
                              <a:xfrm>
                                <a:off x="0" y="0"/>
                                <a:ext cx="309563" cy="313892"/>
                              </a:xfrm>
                              <a:prstGeom prst="rect"/>
                              <a:ln/>
                            </pic:spPr>
                          </pic:pic>
                        </a:graphicData>
                      </a:graphic>
                    </wp:inline>
                  </w:drawing>
                </mc:Fallback>
              </mc:AlternateContent>
            </w:r>
          </w:p>
        </w:tc>
      </w:tr>
      <w:tr w:rsidR="00F57F64" w14:paraId="5B77CFF3" w14:textId="77777777">
        <w:tc>
          <w:tcPr>
            <w:tcW w:w="7845" w:type="dxa"/>
            <w:tcBorders>
              <w:left w:val="single" w:sz="6" w:space="0" w:color="000000"/>
            </w:tcBorders>
            <w:tcMar>
              <w:top w:w="40" w:type="dxa"/>
              <w:left w:w="40" w:type="dxa"/>
              <w:bottom w:w="40" w:type="dxa"/>
              <w:right w:w="40" w:type="dxa"/>
            </w:tcMar>
          </w:tcPr>
          <w:p w14:paraId="5B77CFF1"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explore the perception of Obstetrics and Gynaecology (OB/GYN) postgraduates about the use of simulation in improving their clinical skills (Hafeez et al, 2021)</w:t>
            </w:r>
            <w:r>
              <w:rPr>
                <w:rFonts w:ascii="Calibri" w:eastAsia="Calibri" w:hAnsi="Calibri" w:cs="Calibri"/>
                <w:sz w:val="18"/>
                <w:szCs w:val="18"/>
                <w:vertAlign w:val="superscript"/>
              </w:rPr>
              <w:t>35</w:t>
            </w:r>
          </w:p>
        </w:tc>
        <w:tc>
          <w:tcPr>
            <w:tcW w:w="1245" w:type="dxa"/>
            <w:tcMar>
              <w:top w:w="40" w:type="dxa"/>
              <w:left w:w="40" w:type="dxa"/>
              <w:bottom w:w="40" w:type="dxa"/>
              <w:right w:w="40" w:type="dxa"/>
            </w:tcMar>
          </w:tcPr>
          <w:p w14:paraId="5B77CFF2"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1F" wp14:editId="5B77D120">
                      <wp:extent cx="309563" cy="282408"/>
                      <wp:effectExtent l="0" t="0" r="0" b="0"/>
                      <wp:docPr id="44"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1"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4" name="image44.png"/>
                      <a:graphic>
                        <a:graphicData uri="http://schemas.openxmlformats.org/drawingml/2006/picture">
                          <pic:pic>
                            <pic:nvPicPr>
                              <pic:cNvPr id="0" name="image44.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F6" w14:textId="77777777">
        <w:trPr>
          <w:trHeight w:val="705"/>
        </w:trPr>
        <w:tc>
          <w:tcPr>
            <w:tcW w:w="7845" w:type="dxa"/>
            <w:tcBorders>
              <w:left w:val="single" w:sz="6" w:space="0" w:color="000000"/>
            </w:tcBorders>
            <w:tcMar>
              <w:top w:w="40" w:type="dxa"/>
              <w:left w:w="40" w:type="dxa"/>
              <w:bottom w:w="40" w:type="dxa"/>
              <w:right w:w="40" w:type="dxa"/>
            </w:tcMar>
          </w:tcPr>
          <w:p w14:paraId="5B77CFF4"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 xml:space="preserve">To evaluate the perception and practice of simulation and virtual reality (VR) among professionals in surgery and to identify how their integration would affect the surgical practice, including their significance and acceptance among relevant stakeholders </w:t>
            </w:r>
            <w:r>
              <w:rPr>
                <w:rFonts w:ascii="Calibri" w:eastAsia="Calibri" w:hAnsi="Calibri" w:cs="Calibri"/>
                <w:sz w:val="18"/>
                <w:szCs w:val="18"/>
              </w:rPr>
              <w:t>(Haider et al, 2025)</w:t>
            </w:r>
            <w:r>
              <w:rPr>
                <w:rFonts w:ascii="Calibri" w:eastAsia="Calibri" w:hAnsi="Calibri" w:cs="Calibri"/>
                <w:sz w:val="18"/>
                <w:szCs w:val="18"/>
                <w:vertAlign w:val="superscript"/>
              </w:rPr>
              <w:t>36</w:t>
            </w:r>
          </w:p>
        </w:tc>
        <w:tc>
          <w:tcPr>
            <w:tcW w:w="1245" w:type="dxa"/>
            <w:tcMar>
              <w:top w:w="40" w:type="dxa"/>
              <w:left w:w="40" w:type="dxa"/>
              <w:bottom w:w="40" w:type="dxa"/>
              <w:right w:w="40" w:type="dxa"/>
            </w:tcMar>
          </w:tcPr>
          <w:p w14:paraId="5B77CFF5"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21" wp14:editId="5B77D122">
                      <wp:extent cx="309563" cy="282408"/>
                      <wp:effectExtent l="0" t="0" r="0" b="0"/>
                      <wp:docPr id="20"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2"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0" name="image20.png"/>
                      <a:graphic>
                        <a:graphicData uri="http://schemas.openxmlformats.org/drawingml/2006/picture">
                          <pic:pic>
                            <pic:nvPicPr>
                              <pic:cNvPr id="0" name="image20.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F9" w14:textId="77777777">
        <w:trPr>
          <w:trHeight w:val="300"/>
        </w:trPr>
        <w:tc>
          <w:tcPr>
            <w:tcW w:w="7845" w:type="dxa"/>
            <w:tcBorders>
              <w:left w:val="single" w:sz="6" w:space="0" w:color="000000"/>
            </w:tcBorders>
            <w:tcMar>
              <w:top w:w="40" w:type="dxa"/>
              <w:left w:w="40" w:type="dxa"/>
              <w:bottom w:w="40" w:type="dxa"/>
              <w:right w:w="40" w:type="dxa"/>
            </w:tcMar>
          </w:tcPr>
          <w:p w14:paraId="5B77CFF7"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skill level of residents regarding central venous catheterisation insertion and assess the reliability of scores in a simulated situation. (Hamid et al, 2022)</w:t>
            </w:r>
            <w:r>
              <w:rPr>
                <w:rFonts w:ascii="Calibri" w:eastAsia="Calibri" w:hAnsi="Calibri" w:cs="Calibri"/>
                <w:sz w:val="18"/>
                <w:szCs w:val="18"/>
                <w:vertAlign w:val="superscript"/>
              </w:rPr>
              <w:t>37</w:t>
            </w:r>
          </w:p>
        </w:tc>
        <w:tc>
          <w:tcPr>
            <w:tcW w:w="1245" w:type="dxa"/>
            <w:tcMar>
              <w:top w:w="40" w:type="dxa"/>
              <w:left w:w="40" w:type="dxa"/>
              <w:bottom w:w="40" w:type="dxa"/>
              <w:right w:w="40" w:type="dxa"/>
            </w:tcMar>
          </w:tcPr>
          <w:p w14:paraId="5B77CFF8"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23" wp14:editId="5B77D124">
                      <wp:extent cx="309563" cy="282408"/>
                      <wp:effectExtent l="0" t="0" r="0" b="0"/>
                      <wp:docPr id="7"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3"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7"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FC" w14:textId="77777777">
        <w:trPr>
          <w:trHeight w:val="15"/>
        </w:trPr>
        <w:tc>
          <w:tcPr>
            <w:tcW w:w="7845" w:type="dxa"/>
            <w:tcBorders>
              <w:left w:val="single" w:sz="6" w:space="0" w:color="000000"/>
            </w:tcBorders>
            <w:tcMar>
              <w:top w:w="40" w:type="dxa"/>
              <w:left w:w="40" w:type="dxa"/>
              <w:bottom w:w="40" w:type="dxa"/>
              <w:right w:w="40" w:type="dxa"/>
            </w:tcMar>
          </w:tcPr>
          <w:p w14:paraId="5B77CFFA"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educate first level of healthcare providers on the first-hour management of children with acute neurological emergencies (ANEs) (Haque et al, 2017)</w:t>
            </w:r>
            <w:r>
              <w:rPr>
                <w:rFonts w:ascii="Calibri" w:eastAsia="Calibri" w:hAnsi="Calibri" w:cs="Calibri"/>
                <w:sz w:val="18"/>
                <w:szCs w:val="18"/>
                <w:vertAlign w:val="superscript"/>
              </w:rPr>
              <w:t>38</w:t>
            </w:r>
          </w:p>
        </w:tc>
        <w:tc>
          <w:tcPr>
            <w:tcW w:w="1245" w:type="dxa"/>
            <w:tcMar>
              <w:top w:w="40" w:type="dxa"/>
              <w:left w:w="40" w:type="dxa"/>
              <w:bottom w:w="40" w:type="dxa"/>
              <w:right w:w="40" w:type="dxa"/>
            </w:tcMar>
          </w:tcPr>
          <w:p w14:paraId="5B77CFFB"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25" wp14:editId="5B77D126">
                      <wp:extent cx="309563" cy="282408"/>
                      <wp:effectExtent l="0" t="0" r="0" b="0"/>
                      <wp:docPr id="2"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4"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CFFF" w14:textId="77777777">
        <w:tc>
          <w:tcPr>
            <w:tcW w:w="7845" w:type="dxa"/>
            <w:tcBorders>
              <w:left w:val="single" w:sz="6" w:space="0" w:color="000000"/>
            </w:tcBorders>
            <w:tcMar>
              <w:top w:w="40" w:type="dxa"/>
              <w:left w:w="40" w:type="dxa"/>
              <w:bottom w:w="40" w:type="dxa"/>
              <w:right w:w="40" w:type="dxa"/>
            </w:tcMar>
          </w:tcPr>
          <w:p w14:paraId="5B77CFFD"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evaluate the adherence of private practitioners with TB treatment guidelines as laid down by National Tuberculosis Control Programme (NTP) in Pakistan (Hussain et al, 2005)</w:t>
            </w:r>
            <w:r>
              <w:rPr>
                <w:rFonts w:ascii="Calibri" w:eastAsia="Calibri" w:hAnsi="Calibri" w:cs="Calibri"/>
                <w:sz w:val="18"/>
                <w:szCs w:val="18"/>
                <w:vertAlign w:val="superscript"/>
              </w:rPr>
              <w:t>39</w:t>
            </w:r>
          </w:p>
        </w:tc>
        <w:tc>
          <w:tcPr>
            <w:tcW w:w="1245" w:type="dxa"/>
            <w:tcMar>
              <w:top w:w="40" w:type="dxa"/>
              <w:left w:w="40" w:type="dxa"/>
              <w:bottom w:w="40" w:type="dxa"/>
              <w:right w:w="40" w:type="dxa"/>
            </w:tcMar>
          </w:tcPr>
          <w:p w14:paraId="5B77CFFE"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27" wp14:editId="5B77D128">
                      <wp:extent cx="309563" cy="282408"/>
                      <wp:effectExtent l="0" t="0" r="0" b="0"/>
                      <wp:docPr id="23"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5"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3" name="image23.png"/>
                      <a:graphic>
                        <a:graphicData uri="http://schemas.openxmlformats.org/drawingml/2006/picture">
                          <pic:pic>
                            <pic:nvPicPr>
                              <pic:cNvPr id="0" name="image23.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02" w14:textId="77777777">
        <w:tc>
          <w:tcPr>
            <w:tcW w:w="7845" w:type="dxa"/>
            <w:tcBorders>
              <w:left w:val="single" w:sz="6" w:space="0" w:color="000000"/>
            </w:tcBorders>
            <w:tcMar>
              <w:top w:w="40" w:type="dxa"/>
              <w:left w:w="40" w:type="dxa"/>
              <w:bottom w:w="40" w:type="dxa"/>
              <w:right w:w="40" w:type="dxa"/>
            </w:tcMar>
          </w:tcPr>
          <w:p w14:paraId="5B77D000"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determine the face, content, and construct validity of the in-house built Styrofoam box bench-top training model for retrograde intrarenal surgery (RIRS) (Hussain et al, 2021)</w:t>
            </w:r>
            <w:r>
              <w:rPr>
                <w:rFonts w:ascii="Calibri" w:eastAsia="Calibri" w:hAnsi="Calibri" w:cs="Calibri"/>
                <w:sz w:val="18"/>
                <w:szCs w:val="18"/>
                <w:vertAlign w:val="superscript"/>
              </w:rPr>
              <w:t>40</w:t>
            </w:r>
          </w:p>
        </w:tc>
        <w:tc>
          <w:tcPr>
            <w:tcW w:w="1245" w:type="dxa"/>
            <w:tcMar>
              <w:top w:w="40" w:type="dxa"/>
              <w:left w:w="40" w:type="dxa"/>
              <w:bottom w:w="40" w:type="dxa"/>
              <w:right w:w="40" w:type="dxa"/>
            </w:tcMar>
          </w:tcPr>
          <w:p w14:paraId="5B77D001"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29" wp14:editId="5B77D12A">
                      <wp:extent cx="309563" cy="282408"/>
                      <wp:effectExtent l="0" t="0" r="0" b="0"/>
                      <wp:docPr id="68"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6"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8" name="image68.png"/>
                      <a:graphic>
                        <a:graphicData uri="http://schemas.openxmlformats.org/drawingml/2006/picture">
                          <pic:pic>
                            <pic:nvPicPr>
                              <pic:cNvPr id="0" name="image68.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05" w14:textId="77777777">
        <w:tc>
          <w:tcPr>
            <w:tcW w:w="7845" w:type="dxa"/>
            <w:tcBorders>
              <w:left w:val="single" w:sz="6" w:space="0" w:color="000000"/>
            </w:tcBorders>
            <w:tcMar>
              <w:top w:w="40" w:type="dxa"/>
              <w:left w:w="40" w:type="dxa"/>
              <w:bottom w:w="40" w:type="dxa"/>
              <w:right w:w="40" w:type="dxa"/>
            </w:tcMar>
          </w:tcPr>
          <w:p w14:paraId="5B77D003"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describe the experiences and perceptions of our faculty and studen</w:t>
            </w:r>
            <w:r>
              <w:rPr>
                <w:rFonts w:ascii="Calibri" w:eastAsia="Calibri" w:hAnsi="Calibri" w:cs="Calibri"/>
                <w:sz w:val="18"/>
                <w:szCs w:val="18"/>
              </w:rPr>
              <w:t>ts with changes in OSCE forms, within a resource-limited environment (Iqbal et al, 2009)</w:t>
            </w:r>
            <w:r>
              <w:rPr>
                <w:rFonts w:ascii="Calibri" w:eastAsia="Calibri" w:hAnsi="Calibri" w:cs="Calibri"/>
                <w:sz w:val="18"/>
                <w:szCs w:val="18"/>
                <w:vertAlign w:val="superscript"/>
              </w:rPr>
              <w:t>41</w:t>
            </w:r>
          </w:p>
        </w:tc>
        <w:tc>
          <w:tcPr>
            <w:tcW w:w="1245" w:type="dxa"/>
            <w:tcMar>
              <w:top w:w="40" w:type="dxa"/>
              <w:left w:w="40" w:type="dxa"/>
              <w:bottom w:w="40" w:type="dxa"/>
              <w:right w:w="40" w:type="dxa"/>
            </w:tcMar>
          </w:tcPr>
          <w:p w14:paraId="5B77D004"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2B" wp14:editId="5B77D12C">
                      <wp:extent cx="309563" cy="282408"/>
                      <wp:effectExtent l="0" t="0" r="0" b="0"/>
                      <wp:docPr id="33"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7"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3" name="image33.png"/>
                      <a:graphic>
                        <a:graphicData uri="http://schemas.openxmlformats.org/drawingml/2006/picture">
                          <pic:pic>
                            <pic:nvPicPr>
                              <pic:cNvPr id="0" name="image33.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08" w14:textId="77777777">
        <w:trPr>
          <w:trHeight w:val="838"/>
        </w:trPr>
        <w:tc>
          <w:tcPr>
            <w:tcW w:w="7845" w:type="dxa"/>
            <w:tcBorders>
              <w:left w:val="single" w:sz="6" w:space="0" w:color="000000"/>
            </w:tcBorders>
            <w:tcMar>
              <w:top w:w="40" w:type="dxa"/>
              <w:left w:w="40" w:type="dxa"/>
              <w:bottom w:w="40" w:type="dxa"/>
              <w:right w:w="40" w:type="dxa"/>
            </w:tcMar>
          </w:tcPr>
          <w:p w14:paraId="5B77D006" w14:textId="77777777" w:rsidR="00F57F64" w:rsidRDefault="003E36D7">
            <w:pPr>
              <w:widowControl w:val="0"/>
              <w:rPr>
                <w:rFonts w:ascii="Calibri" w:eastAsia="Calibri" w:hAnsi="Calibri" w:cs="Calibri"/>
                <w:sz w:val="18"/>
                <w:szCs w:val="18"/>
              </w:rPr>
            </w:pPr>
            <w:r>
              <w:rPr>
                <w:rFonts w:ascii="Calibri" w:eastAsia="Calibri" w:hAnsi="Calibri" w:cs="Calibri"/>
                <w:sz w:val="18"/>
                <w:szCs w:val="18"/>
              </w:rPr>
              <w:t xml:space="preserve">The current short report presents a novel simulator to mimic heart valve replacement surgeries by using a pacifier as a prosthetic valve and annuloplasty ring </w:t>
            </w:r>
            <w:r>
              <w:rPr>
                <w:rFonts w:ascii="Calibri" w:eastAsia="Calibri" w:hAnsi="Calibri" w:cs="Calibri"/>
                <w:sz w:val="18"/>
                <w:szCs w:val="18"/>
              </w:rPr>
              <w:t>to facilitate other resource-limited residency programmes (Iqbal et al, 2021)</w:t>
            </w:r>
            <w:r>
              <w:rPr>
                <w:rFonts w:ascii="Calibri" w:eastAsia="Calibri" w:hAnsi="Calibri" w:cs="Calibri"/>
                <w:sz w:val="18"/>
                <w:szCs w:val="18"/>
                <w:vertAlign w:val="superscript"/>
              </w:rPr>
              <w:t>42</w:t>
            </w:r>
          </w:p>
        </w:tc>
        <w:tc>
          <w:tcPr>
            <w:tcW w:w="1245" w:type="dxa"/>
            <w:tcMar>
              <w:top w:w="40" w:type="dxa"/>
              <w:left w:w="40" w:type="dxa"/>
              <w:bottom w:w="40" w:type="dxa"/>
              <w:right w:w="40" w:type="dxa"/>
            </w:tcMar>
          </w:tcPr>
          <w:p w14:paraId="5B77D007"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2D" wp14:editId="5B77D12E">
                      <wp:extent cx="309563" cy="282408"/>
                      <wp:effectExtent l="0" t="0" r="0" b="0"/>
                      <wp:docPr id="70"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8"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70" name="image70.png"/>
                      <a:graphic>
                        <a:graphicData uri="http://schemas.openxmlformats.org/drawingml/2006/picture">
                          <pic:pic>
                            <pic:nvPicPr>
                              <pic:cNvPr id="0" name="image70.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0B" w14:textId="77777777">
        <w:trPr>
          <w:trHeight w:val="15"/>
        </w:trPr>
        <w:tc>
          <w:tcPr>
            <w:tcW w:w="7845" w:type="dxa"/>
            <w:tcBorders>
              <w:left w:val="single" w:sz="6" w:space="0" w:color="000000"/>
            </w:tcBorders>
            <w:tcMar>
              <w:top w:w="40" w:type="dxa"/>
              <w:left w:w="40" w:type="dxa"/>
              <w:bottom w:w="40" w:type="dxa"/>
              <w:right w:w="40" w:type="dxa"/>
            </w:tcMar>
          </w:tcPr>
          <w:p w14:paraId="5B77D009"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compare three different assessment tools to identify the tool that most accurately reflects competence in endoscopic skills (Ismail et al, 2024)</w:t>
            </w:r>
            <w:r>
              <w:rPr>
                <w:rFonts w:ascii="Calibri" w:eastAsia="Calibri" w:hAnsi="Calibri" w:cs="Calibri"/>
                <w:sz w:val="18"/>
                <w:szCs w:val="18"/>
                <w:vertAlign w:val="superscript"/>
              </w:rPr>
              <w:t>43</w:t>
            </w:r>
          </w:p>
        </w:tc>
        <w:tc>
          <w:tcPr>
            <w:tcW w:w="1245" w:type="dxa"/>
            <w:tcMar>
              <w:top w:w="40" w:type="dxa"/>
              <w:left w:w="40" w:type="dxa"/>
              <w:bottom w:w="40" w:type="dxa"/>
              <w:right w:w="40" w:type="dxa"/>
            </w:tcMar>
          </w:tcPr>
          <w:p w14:paraId="5B77D00A"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2F" wp14:editId="5B77D130">
                      <wp:extent cx="309563" cy="282408"/>
                      <wp:effectExtent l="0" t="0" r="0" b="0"/>
                      <wp:docPr id="47"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9"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7" name="image47.png"/>
                      <a:graphic>
                        <a:graphicData uri="http://schemas.openxmlformats.org/drawingml/2006/picture">
                          <pic:pic>
                            <pic:nvPicPr>
                              <pic:cNvPr id="0" name="image47.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0E" w14:textId="77777777">
        <w:trPr>
          <w:trHeight w:val="555"/>
        </w:trPr>
        <w:tc>
          <w:tcPr>
            <w:tcW w:w="7845" w:type="dxa"/>
            <w:tcBorders>
              <w:left w:val="single" w:sz="6" w:space="0" w:color="000000"/>
            </w:tcBorders>
            <w:tcMar>
              <w:top w:w="40" w:type="dxa"/>
              <w:left w:w="40" w:type="dxa"/>
              <w:bottom w:w="40" w:type="dxa"/>
              <w:right w:w="40" w:type="dxa"/>
            </w:tcMar>
          </w:tcPr>
          <w:p w14:paraId="5B77D00C"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compare the effectiveness of simulated patients with real patients through undergraduate students' results of Mini-Cex encounters and their opinions (Jabeen 2013)</w:t>
            </w:r>
            <w:r>
              <w:rPr>
                <w:rFonts w:ascii="Calibri" w:eastAsia="Calibri" w:hAnsi="Calibri" w:cs="Calibri"/>
                <w:sz w:val="18"/>
                <w:szCs w:val="18"/>
                <w:vertAlign w:val="superscript"/>
              </w:rPr>
              <w:t>44</w:t>
            </w:r>
          </w:p>
        </w:tc>
        <w:tc>
          <w:tcPr>
            <w:tcW w:w="1245" w:type="dxa"/>
            <w:tcMar>
              <w:top w:w="40" w:type="dxa"/>
              <w:left w:w="40" w:type="dxa"/>
              <w:bottom w:w="40" w:type="dxa"/>
              <w:right w:w="40" w:type="dxa"/>
            </w:tcMar>
          </w:tcPr>
          <w:p w14:paraId="5B77D00D"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31" wp14:editId="5B77D132">
                      <wp:extent cx="309563" cy="282408"/>
                      <wp:effectExtent l="0" t="0" r="0" b="0"/>
                      <wp:docPr id="29"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A"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9" name="image29.png"/>
                      <a:graphic>
                        <a:graphicData uri="http://schemas.openxmlformats.org/drawingml/2006/picture">
                          <pic:pic>
                            <pic:nvPicPr>
                              <pic:cNvPr id="0" name="image29.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11" w14:textId="77777777">
        <w:trPr>
          <w:trHeight w:val="90"/>
        </w:trPr>
        <w:tc>
          <w:tcPr>
            <w:tcW w:w="7845" w:type="dxa"/>
            <w:tcBorders>
              <w:left w:val="single" w:sz="6" w:space="0" w:color="000000"/>
            </w:tcBorders>
            <w:tcMar>
              <w:top w:w="40" w:type="dxa"/>
              <w:left w:w="40" w:type="dxa"/>
              <w:bottom w:w="40" w:type="dxa"/>
              <w:right w:w="40" w:type="dxa"/>
            </w:tcMar>
          </w:tcPr>
          <w:p w14:paraId="5B77D00F"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compare the efficacy of blended learning with contemporary face-to-face teaching among medical students. (Jawaid et al, 2021)</w:t>
            </w:r>
            <w:r>
              <w:rPr>
                <w:rFonts w:ascii="Calibri" w:eastAsia="Calibri" w:hAnsi="Calibri" w:cs="Calibri"/>
                <w:sz w:val="18"/>
                <w:szCs w:val="18"/>
                <w:vertAlign w:val="superscript"/>
              </w:rPr>
              <w:t>45</w:t>
            </w:r>
          </w:p>
        </w:tc>
        <w:tc>
          <w:tcPr>
            <w:tcW w:w="1245" w:type="dxa"/>
            <w:tcMar>
              <w:top w:w="40" w:type="dxa"/>
              <w:left w:w="40" w:type="dxa"/>
              <w:bottom w:w="40" w:type="dxa"/>
              <w:right w:w="40" w:type="dxa"/>
            </w:tcMar>
          </w:tcPr>
          <w:p w14:paraId="5B77D010"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33" wp14:editId="5B77D134">
                      <wp:extent cx="309563" cy="282408"/>
                      <wp:effectExtent l="0" t="0" r="0" b="0"/>
                      <wp:docPr id="61"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B"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1" name="image61.png"/>
                      <a:graphic>
                        <a:graphicData uri="http://schemas.openxmlformats.org/drawingml/2006/picture">
                          <pic:pic>
                            <pic:nvPicPr>
                              <pic:cNvPr id="0" name="image61.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14" w14:textId="77777777">
        <w:trPr>
          <w:trHeight w:val="435"/>
        </w:trPr>
        <w:tc>
          <w:tcPr>
            <w:tcW w:w="7845" w:type="dxa"/>
            <w:tcBorders>
              <w:left w:val="single" w:sz="6" w:space="0" w:color="000000"/>
            </w:tcBorders>
            <w:tcMar>
              <w:top w:w="40" w:type="dxa"/>
              <w:left w:w="40" w:type="dxa"/>
              <w:bottom w:w="40" w:type="dxa"/>
              <w:right w:w="40" w:type="dxa"/>
            </w:tcMar>
          </w:tcPr>
          <w:p w14:paraId="5B77D012"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introduce an innovative and cost-effective way of simulating aortic root replacement in a wet laboratory by applying a hand-made valve conduit or ‘pencil conduit’ to a bovine heart. (Kamal et al, 2023)</w:t>
            </w:r>
            <w:r>
              <w:rPr>
                <w:rFonts w:ascii="Calibri" w:eastAsia="Calibri" w:hAnsi="Calibri" w:cs="Calibri"/>
                <w:sz w:val="18"/>
                <w:szCs w:val="18"/>
                <w:vertAlign w:val="superscript"/>
              </w:rPr>
              <w:t>46</w:t>
            </w:r>
          </w:p>
        </w:tc>
        <w:tc>
          <w:tcPr>
            <w:tcW w:w="1245" w:type="dxa"/>
            <w:tcMar>
              <w:top w:w="40" w:type="dxa"/>
              <w:left w:w="40" w:type="dxa"/>
              <w:bottom w:w="40" w:type="dxa"/>
              <w:right w:w="40" w:type="dxa"/>
            </w:tcMar>
          </w:tcPr>
          <w:p w14:paraId="5B77D013"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35" wp14:editId="5B77D136">
                      <wp:extent cx="309563" cy="282408"/>
                      <wp:effectExtent l="0" t="0" r="0" b="0"/>
                      <wp:docPr id="27"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C"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7" name="image27.png"/>
                      <a:graphic>
                        <a:graphicData uri="http://schemas.openxmlformats.org/drawingml/2006/picture">
                          <pic:pic>
                            <pic:nvPicPr>
                              <pic:cNvPr id="0" name="image27.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18" w14:textId="77777777">
        <w:trPr>
          <w:trHeight w:val="1740"/>
        </w:trPr>
        <w:tc>
          <w:tcPr>
            <w:tcW w:w="7845" w:type="dxa"/>
            <w:tcBorders>
              <w:left w:val="single" w:sz="6" w:space="0" w:color="000000"/>
            </w:tcBorders>
            <w:tcMar>
              <w:top w:w="40" w:type="dxa"/>
              <w:left w:w="40" w:type="dxa"/>
              <w:bottom w:w="40" w:type="dxa"/>
              <w:right w:w="40" w:type="dxa"/>
            </w:tcMar>
          </w:tcPr>
          <w:p w14:paraId="5B77D015" w14:textId="77777777" w:rsidR="00F57F64" w:rsidRDefault="003E36D7">
            <w:pPr>
              <w:widowControl w:val="0"/>
              <w:rPr>
                <w:rFonts w:ascii="Calibri" w:eastAsia="Calibri" w:hAnsi="Calibri" w:cs="Calibri"/>
                <w:sz w:val="18"/>
                <w:szCs w:val="18"/>
              </w:rPr>
            </w:pPr>
            <w:r>
              <w:rPr>
                <w:rFonts w:ascii="Calibri" w:eastAsia="Calibri" w:hAnsi="Calibri" w:cs="Calibri"/>
                <w:sz w:val="18"/>
                <w:szCs w:val="18"/>
              </w:rPr>
              <w:t>To prioritize the factors required for the implementation of the centralized, Objective Structured Clinical Examination (OSCE) and Objective Structured Practical Examination (OSPE) to standardize the clinical examination across the province of Khyber Pakht</w:t>
            </w:r>
            <w:r>
              <w:rPr>
                <w:rFonts w:ascii="Calibri" w:eastAsia="Calibri" w:hAnsi="Calibri" w:cs="Calibri"/>
                <w:sz w:val="18"/>
                <w:szCs w:val="18"/>
              </w:rPr>
              <w:t>unkhwa, Pakistan and identify the perceptions of medical faculty of public and private medical colleges from Peshawar, Pakistan towards the introduction of centralized OSCE/OSPE, factors affecting its implementation and challenges</w:t>
            </w:r>
          </w:p>
          <w:p w14:paraId="5B77D016"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 xml:space="preserve">towards its introduction </w:t>
            </w:r>
            <w:r>
              <w:rPr>
                <w:rFonts w:ascii="Calibri" w:eastAsia="Calibri" w:hAnsi="Calibri" w:cs="Calibri"/>
                <w:sz w:val="18"/>
                <w:szCs w:val="18"/>
              </w:rPr>
              <w:t>(Kashif et al, 2021)</w:t>
            </w:r>
            <w:r>
              <w:rPr>
                <w:rFonts w:ascii="Calibri" w:eastAsia="Calibri" w:hAnsi="Calibri" w:cs="Calibri"/>
                <w:sz w:val="18"/>
                <w:szCs w:val="18"/>
                <w:vertAlign w:val="superscript"/>
              </w:rPr>
              <w:t>47</w:t>
            </w:r>
          </w:p>
        </w:tc>
        <w:tc>
          <w:tcPr>
            <w:tcW w:w="1245" w:type="dxa"/>
            <w:tcMar>
              <w:top w:w="40" w:type="dxa"/>
              <w:left w:w="40" w:type="dxa"/>
              <w:bottom w:w="40" w:type="dxa"/>
              <w:right w:w="40" w:type="dxa"/>
            </w:tcMar>
          </w:tcPr>
          <w:p w14:paraId="5B77D017"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37" wp14:editId="5B77D138">
                      <wp:extent cx="309563" cy="282408"/>
                      <wp:effectExtent l="0" t="0" r="0" b="0"/>
                      <wp:docPr id="21"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D"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1" name="image21.png"/>
                      <a:graphic>
                        <a:graphicData uri="http://schemas.openxmlformats.org/drawingml/2006/picture">
                          <pic:pic>
                            <pic:nvPicPr>
                              <pic:cNvPr id="0" name="image21.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1B" w14:textId="77777777">
        <w:trPr>
          <w:trHeight w:val="15"/>
        </w:trPr>
        <w:tc>
          <w:tcPr>
            <w:tcW w:w="7845" w:type="dxa"/>
            <w:tcBorders>
              <w:left w:val="single" w:sz="6" w:space="0" w:color="000000"/>
            </w:tcBorders>
            <w:shd w:val="clear" w:color="auto" w:fill="FFFFFF"/>
            <w:tcMar>
              <w:top w:w="40" w:type="dxa"/>
              <w:left w:w="40" w:type="dxa"/>
              <w:bottom w:w="40" w:type="dxa"/>
              <w:right w:w="40" w:type="dxa"/>
            </w:tcMar>
          </w:tcPr>
          <w:p w14:paraId="5B77D019"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develop the country’s first brain tumour surgery lab in resource-constrained settings, for training young neurosurgeons and residents (Khan et al, 2024)</w:t>
            </w:r>
            <w:r>
              <w:rPr>
                <w:rFonts w:ascii="Calibri" w:eastAsia="Calibri" w:hAnsi="Calibri" w:cs="Calibri"/>
                <w:sz w:val="18"/>
                <w:szCs w:val="18"/>
                <w:vertAlign w:val="superscript"/>
              </w:rPr>
              <w:t>48</w:t>
            </w:r>
          </w:p>
        </w:tc>
        <w:tc>
          <w:tcPr>
            <w:tcW w:w="1245" w:type="dxa"/>
            <w:tcMar>
              <w:top w:w="40" w:type="dxa"/>
              <w:left w:w="40" w:type="dxa"/>
              <w:bottom w:w="40" w:type="dxa"/>
              <w:right w:w="40" w:type="dxa"/>
            </w:tcMar>
          </w:tcPr>
          <w:p w14:paraId="5B77D01A"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39" wp14:editId="5B77D13A">
                      <wp:extent cx="309563" cy="282408"/>
                      <wp:effectExtent l="0" t="0" r="0" b="0"/>
                      <wp:docPr id="60"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E"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0" name="image60.png"/>
                      <a:graphic>
                        <a:graphicData uri="http://schemas.openxmlformats.org/drawingml/2006/picture">
                          <pic:pic>
                            <pic:nvPicPr>
                              <pic:cNvPr id="0" name="image60.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1E" w14:textId="77777777">
        <w:tc>
          <w:tcPr>
            <w:tcW w:w="7845" w:type="dxa"/>
            <w:tcBorders>
              <w:left w:val="single" w:sz="6" w:space="0" w:color="000000"/>
            </w:tcBorders>
            <w:tcMar>
              <w:top w:w="40" w:type="dxa"/>
              <w:left w:w="40" w:type="dxa"/>
              <w:bottom w:w="40" w:type="dxa"/>
              <w:right w:w="40" w:type="dxa"/>
            </w:tcMar>
          </w:tcPr>
          <w:p w14:paraId="5B77D01C"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record and assess the response of MBBS undergraduate students to role-play of clinical scenarios during the teaching of Physiology at Combined Military Hospital (CMH) Lahore Medical College and Institute of Dentistry. (Khan et al, 2021)</w:t>
            </w:r>
            <w:r>
              <w:rPr>
                <w:rFonts w:ascii="Calibri" w:eastAsia="Calibri" w:hAnsi="Calibri" w:cs="Calibri"/>
                <w:sz w:val="18"/>
                <w:szCs w:val="18"/>
                <w:vertAlign w:val="superscript"/>
              </w:rPr>
              <w:t>49</w:t>
            </w:r>
          </w:p>
        </w:tc>
        <w:tc>
          <w:tcPr>
            <w:tcW w:w="1245" w:type="dxa"/>
            <w:tcMar>
              <w:top w:w="40" w:type="dxa"/>
              <w:left w:w="40" w:type="dxa"/>
              <w:bottom w:w="40" w:type="dxa"/>
              <w:right w:w="40" w:type="dxa"/>
            </w:tcMar>
          </w:tcPr>
          <w:p w14:paraId="5B77D01D"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3B" wp14:editId="5B77D13C">
                      <wp:extent cx="309563" cy="282408"/>
                      <wp:effectExtent l="0" t="0" r="0" b="0"/>
                      <wp:docPr id="69"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AF"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9" name="image69.png"/>
                      <a:graphic>
                        <a:graphicData uri="http://schemas.openxmlformats.org/drawingml/2006/picture">
                          <pic:pic>
                            <pic:nvPicPr>
                              <pic:cNvPr id="0" name="image69.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21" w14:textId="77777777">
        <w:trPr>
          <w:trHeight w:val="229"/>
        </w:trPr>
        <w:tc>
          <w:tcPr>
            <w:tcW w:w="7845" w:type="dxa"/>
            <w:tcBorders>
              <w:left w:val="single" w:sz="6" w:space="0" w:color="000000"/>
            </w:tcBorders>
            <w:tcMar>
              <w:top w:w="40" w:type="dxa"/>
              <w:left w:w="40" w:type="dxa"/>
              <w:bottom w:w="40" w:type="dxa"/>
              <w:right w:w="40" w:type="dxa"/>
            </w:tcMar>
          </w:tcPr>
          <w:p w14:paraId="5B77D01F"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The aim of our study was to explore if a 1-day laparoscopic skills workshop enhanced the knowledge and skills of surgical residents in minimal access surgery and if it had any correlation with the Direct Observation of Procedural Skills (DOPS) scores. (Kha</w:t>
            </w:r>
            <w:r>
              <w:rPr>
                <w:rFonts w:ascii="Calibri" w:eastAsia="Calibri" w:hAnsi="Calibri" w:cs="Calibri"/>
                <w:sz w:val="18"/>
                <w:szCs w:val="18"/>
              </w:rPr>
              <w:t>n et al, 2020)</w:t>
            </w:r>
            <w:r>
              <w:rPr>
                <w:rFonts w:ascii="Calibri" w:eastAsia="Calibri" w:hAnsi="Calibri" w:cs="Calibri"/>
                <w:sz w:val="18"/>
                <w:szCs w:val="18"/>
                <w:vertAlign w:val="superscript"/>
              </w:rPr>
              <w:t>50</w:t>
            </w:r>
          </w:p>
        </w:tc>
        <w:tc>
          <w:tcPr>
            <w:tcW w:w="1245" w:type="dxa"/>
            <w:tcMar>
              <w:top w:w="40" w:type="dxa"/>
              <w:left w:w="40" w:type="dxa"/>
              <w:bottom w:w="40" w:type="dxa"/>
              <w:right w:w="40" w:type="dxa"/>
            </w:tcMar>
          </w:tcPr>
          <w:p w14:paraId="5B77D020"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3D" wp14:editId="5B77D13E">
                      <wp:extent cx="309563" cy="313892"/>
                      <wp:effectExtent l="0" t="0" r="0" b="0"/>
                      <wp:docPr id="4"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9900"/>
                              </a:solidFill>
                              <a:ln w="9525" cap="flat" cmpd="sng">
                                <a:solidFill>
                                  <a:srgbClr val="000000"/>
                                </a:solidFill>
                                <a:prstDash val="solid"/>
                                <a:round/>
                                <a:headEnd type="none" w="sm" len="sm"/>
                                <a:tailEnd type="none" w="sm" len="sm"/>
                              </a:ln>
                            </wps:spPr>
                            <wps:txbx>
                              <w:txbxContent>
                                <w:p w14:paraId="5B77D1B0"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313892"/>
                      <wp:effectExtent b="0" l="0" r="0" t="0"/>
                      <wp:docPr id="4"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309563" cy="313892"/>
                              </a:xfrm>
                              <a:prstGeom prst="rect"/>
                              <a:ln/>
                            </pic:spPr>
                          </pic:pic>
                        </a:graphicData>
                      </a:graphic>
                    </wp:inline>
                  </w:drawing>
                </mc:Fallback>
              </mc:AlternateContent>
            </w:r>
          </w:p>
        </w:tc>
      </w:tr>
      <w:tr w:rsidR="00F57F64" w14:paraId="5B77D024" w14:textId="77777777">
        <w:tc>
          <w:tcPr>
            <w:tcW w:w="7845" w:type="dxa"/>
            <w:tcBorders>
              <w:left w:val="single" w:sz="6" w:space="0" w:color="000000"/>
            </w:tcBorders>
            <w:tcMar>
              <w:top w:w="40" w:type="dxa"/>
              <w:left w:w="40" w:type="dxa"/>
              <w:bottom w:w="40" w:type="dxa"/>
              <w:right w:w="40" w:type="dxa"/>
            </w:tcMar>
          </w:tcPr>
          <w:p w14:paraId="5B77D022"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lastRenderedPageBreak/>
              <w:t>To compare hybrid-simulation teaching with traditional teaching in improvement of learning, retention, and clinical application of knowledge of pharmacology for undergraduate medical students (Khan et al, 2024)</w:t>
            </w:r>
            <w:r>
              <w:rPr>
                <w:rFonts w:ascii="Calibri" w:eastAsia="Calibri" w:hAnsi="Calibri" w:cs="Calibri"/>
                <w:sz w:val="18"/>
                <w:szCs w:val="18"/>
                <w:vertAlign w:val="superscript"/>
              </w:rPr>
              <w:t>51</w:t>
            </w:r>
          </w:p>
        </w:tc>
        <w:tc>
          <w:tcPr>
            <w:tcW w:w="1245" w:type="dxa"/>
            <w:tcMar>
              <w:top w:w="40" w:type="dxa"/>
              <w:left w:w="40" w:type="dxa"/>
              <w:bottom w:w="40" w:type="dxa"/>
              <w:right w:w="40" w:type="dxa"/>
            </w:tcMar>
          </w:tcPr>
          <w:p w14:paraId="5B77D023"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3F" wp14:editId="5B77D140">
                      <wp:extent cx="309563" cy="282408"/>
                      <wp:effectExtent l="0" t="0" r="0" b="0"/>
                      <wp:docPr id="15"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1"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5"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27" w14:textId="77777777">
        <w:trPr>
          <w:trHeight w:val="450"/>
        </w:trPr>
        <w:tc>
          <w:tcPr>
            <w:tcW w:w="7845" w:type="dxa"/>
            <w:tcBorders>
              <w:left w:val="single" w:sz="6" w:space="0" w:color="000000"/>
            </w:tcBorders>
            <w:tcMar>
              <w:top w:w="40" w:type="dxa"/>
              <w:left w:w="40" w:type="dxa"/>
              <w:bottom w:w="40" w:type="dxa"/>
              <w:right w:w="40" w:type="dxa"/>
            </w:tcMar>
          </w:tcPr>
          <w:p w14:paraId="5B77D025"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evaluate medical professionals’ and students’ knowledge, attitudes, and practices regarding using extended reality(XR) technology in Pakistan’s healthcare system and identify its benefits, drawbacks, and implications for the system’s future (Khan et al,</w:t>
            </w:r>
            <w:r>
              <w:rPr>
                <w:rFonts w:ascii="Calibri" w:eastAsia="Calibri" w:hAnsi="Calibri" w:cs="Calibri"/>
                <w:sz w:val="18"/>
                <w:szCs w:val="18"/>
              </w:rPr>
              <w:t xml:space="preserve"> 2024)</w:t>
            </w:r>
            <w:r>
              <w:rPr>
                <w:rFonts w:ascii="Calibri" w:eastAsia="Calibri" w:hAnsi="Calibri" w:cs="Calibri"/>
                <w:sz w:val="18"/>
                <w:szCs w:val="18"/>
                <w:vertAlign w:val="superscript"/>
              </w:rPr>
              <w:t>52</w:t>
            </w:r>
          </w:p>
        </w:tc>
        <w:tc>
          <w:tcPr>
            <w:tcW w:w="1245" w:type="dxa"/>
            <w:tcMar>
              <w:top w:w="40" w:type="dxa"/>
              <w:left w:w="40" w:type="dxa"/>
              <w:bottom w:w="40" w:type="dxa"/>
              <w:right w:w="40" w:type="dxa"/>
            </w:tcMar>
          </w:tcPr>
          <w:p w14:paraId="5B77D026"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41" wp14:editId="5B77D142">
                      <wp:extent cx="309563" cy="282408"/>
                      <wp:effectExtent l="0" t="0" r="0" b="0"/>
                      <wp:docPr id="67"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2"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7" name="image67.png"/>
                      <a:graphic>
                        <a:graphicData uri="http://schemas.openxmlformats.org/drawingml/2006/picture">
                          <pic:pic>
                            <pic:nvPicPr>
                              <pic:cNvPr id="0" name="image67.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2A" w14:textId="77777777">
        <w:trPr>
          <w:trHeight w:val="15"/>
        </w:trPr>
        <w:tc>
          <w:tcPr>
            <w:tcW w:w="7845" w:type="dxa"/>
            <w:tcBorders>
              <w:left w:val="single" w:sz="6" w:space="0" w:color="000000"/>
            </w:tcBorders>
            <w:tcMar>
              <w:top w:w="40" w:type="dxa"/>
              <w:left w:w="40" w:type="dxa"/>
              <w:bottom w:w="40" w:type="dxa"/>
              <w:right w:w="40" w:type="dxa"/>
            </w:tcMar>
          </w:tcPr>
          <w:p w14:paraId="5B77D028"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For assessing the use of simulation training on animal cadavers as a useful tool for training in pleuroscopy (Mahmud et al, 2017)</w:t>
            </w:r>
            <w:r>
              <w:rPr>
                <w:rFonts w:ascii="Calibri" w:eastAsia="Calibri" w:hAnsi="Calibri" w:cs="Calibri"/>
                <w:sz w:val="18"/>
                <w:szCs w:val="18"/>
                <w:vertAlign w:val="superscript"/>
              </w:rPr>
              <w:t>53</w:t>
            </w:r>
          </w:p>
        </w:tc>
        <w:tc>
          <w:tcPr>
            <w:tcW w:w="1245" w:type="dxa"/>
            <w:tcMar>
              <w:top w:w="40" w:type="dxa"/>
              <w:left w:w="40" w:type="dxa"/>
              <w:bottom w:w="40" w:type="dxa"/>
              <w:right w:w="40" w:type="dxa"/>
            </w:tcMar>
          </w:tcPr>
          <w:p w14:paraId="5B77D029"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43" wp14:editId="5B77D144">
                      <wp:extent cx="309563" cy="282408"/>
                      <wp:effectExtent l="0" t="0" r="0" b="0"/>
                      <wp:docPr id="40"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3"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0" name="image40.png"/>
                      <a:graphic>
                        <a:graphicData uri="http://schemas.openxmlformats.org/drawingml/2006/picture">
                          <pic:pic>
                            <pic:nvPicPr>
                              <pic:cNvPr id="0" name="image40.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2D" w14:textId="77777777">
        <w:trPr>
          <w:trHeight w:val="750"/>
        </w:trPr>
        <w:tc>
          <w:tcPr>
            <w:tcW w:w="7845" w:type="dxa"/>
            <w:tcBorders>
              <w:left w:val="single" w:sz="6" w:space="0" w:color="000000"/>
            </w:tcBorders>
            <w:tcMar>
              <w:top w:w="40" w:type="dxa"/>
              <w:left w:w="40" w:type="dxa"/>
              <w:bottom w:w="40" w:type="dxa"/>
              <w:right w:w="40" w:type="dxa"/>
            </w:tcMar>
          </w:tcPr>
          <w:p w14:paraId="5B77D02B"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 xml:space="preserve">To compare the mean increase in GOALS(Global Assessment of Laparoscopic Skills) score measuring intraoperative laparoscopic skills between residents who have undergone simulator training for 16 hours with those who have not received any simulator training </w:t>
            </w:r>
            <w:r>
              <w:rPr>
                <w:rFonts w:ascii="Calibri" w:eastAsia="Calibri" w:hAnsi="Calibri" w:cs="Calibri"/>
                <w:sz w:val="18"/>
                <w:szCs w:val="18"/>
              </w:rPr>
              <w:t>(Malik et al, 2015)</w:t>
            </w:r>
            <w:r>
              <w:rPr>
                <w:rFonts w:ascii="Calibri" w:eastAsia="Calibri" w:hAnsi="Calibri" w:cs="Calibri"/>
                <w:sz w:val="18"/>
                <w:szCs w:val="18"/>
                <w:vertAlign w:val="superscript"/>
              </w:rPr>
              <w:t>54</w:t>
            </w:r>
          </w:p>
        </w:tc>
        <w:tc>
          <w:tcPr>
            <w:tcW w:w="1245" w:type="dxa"/>
            <w:tcMar>
              <w:top w:w="40" w:type="dxa"/>
              <w:left w:w="40" w:type="dxa"/>
              <w:bottom w:w="40" w:type="dxa"/>
              <w:right w:w="40" w:type="dxa"/>
            </w:tcMar>
          </w:tcPr>
          <w:p w14:paraId="5B77D02C"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45" wp14:editId="5B77D146">
                      <wp:extent cx="309563" cy="313892"/>
                      <wp:effectExtent l="0" t="0" r="0" b="0"/>
                      <wp:docPr id="53"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9900"/>
                              </a:solidFill>
                              <a:ln w="9525" cap="flat" cmpd="sng">
                                <a:solidFill>
                                  <a:srgbClr val="000000"/>
                                </a:solidFill>
                                <a:prstDash val="solid"/>
                                <a:round/>
                                <a:headEnd type="none" w="sm" len="sm"/>
                                <a:tailEnd type="none" w="sm" len="sm"/>
                              </a:ln>
                            </wps:spPr>
                            <wps:txbx>
                              <w:txbxContent>
                                <w:p w14:paraId="5B77D1B4"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313892"/>
                      <wp:effectExtent b="0" l="0" r="0" t="0"/>
                      <wp:docPr id="53" name="image53.png"/>
                      <a:graphic>
                        <a:graphicData uri="http://schemas.openxmlformats.org/drawingml/2006/picture">
                          <pic:pic>
                            <pic:nvPicPr>
                              <pic:cNvPr id="0" name="image53.png"/>
                              <pic:cNvPicPr preferRelativeResize="0"/>
                            </pic:nvPicPr>
                            <pic:blipFill>
                              <a:blip r:embed="rId12"/>
                              <a:srcRect/>
                              <a:stretch>
                                <a:fillRect/>
                              </a:stretch>
                            </pic:blipFill>
                            <pic:spPr>
                              <a:xfrm>
                                <a:off x="0" y="0"/>
                                <a:ext cx="309563" cy="313892"/>
                              </a:xfrm>
                              <a:prstGeom prst="rect"/>
                              <a:ln/>
                            </pic:spPr>
                          </pic:pic>
                        </a:graphicData>
                      </a:graphic>
                    </wp:inline>
                  </w:drawing>
                </mc:Fallback>
              </mc:AlternateContent>
            </w:r>
          </w:p>
        </w:tc>
      </w:tr>
      <w:tr w:rsidR="00F57F64" w14:paraId="5B77D030" w14:textId="77777777">
        <w:trPr>
          <w:trHeight w:val="615"/>
        </w:trPr>
        <w:tc>
          <w:tcPr>
            <w:tcW w:w="7845" w:type="dxa"/>
            <w:tcBorders>
              <w:left w:val="single" w:sz="6" w:space="0" w:color="000000"/>
            </w:tcBorders>
            <w:tcMar>
              <w:top w:w="40" w:type="dxa"/>
              <w:left w:w="40" w:type="dxa"/>
              <w:bottom w:w="40" w:type="dxa"/>
              <w:right w:w="40" w:type="dxa"/>
            </w:tcMar>
          </w:tcPr>
          <w:p w14:paraId="5B77D02E"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present the experience of developing a targeted, contextually focused compassion-training curriculum, integrating it into postgraduate residency training at Aga Khan University, Pakistan and evaluating its impact on enhancing compassion competence among</w:t>
            </w:r>
            <w:r>
              <w:rPr>
                <w:rFonts w:ascii="Calibri" w:eastAsia="Calibri" w:hAnsi="Calibri" w:cs="Calibri"/>
                <w:sz w:val="18"/>
                <w:szCs w:val="18"/>
              </w:rPr>
              <w:t xml:space="preserve"> junior residents and exploring barriers and facilitators to compassionate care through qualitative analysis. (Malik et al, 2025)</w:t>
            </w:r>
            <w:r>
              <w:rPr>
                <w:rFonts w:ascii="Calibri" w:eastAsia="Calibri" w:hAnsi="Calibri" w:cs="Calibri"/>
                <w:sz w:val="18"/>
                <w:szCs w:val="18"/>
                <w:vertAlign w:val="superscript"/>
              </w:rPr>
              <w:t>55</w:t>
            </w:r>
          </w:p>
        </w:tc>
        <w:tc>
          <w:tcPr>
            <w:tcW w:w="1245" w:type="dxa"/>
            <w:tcMar>
              <w:top w:w="40" w:type="dxa"/>
              <w:left w:w="40" w:type="dxa"/>
              <w:bottom w:w="40" w:type="dxa"/>
              <w:right w:w="40" w:type="dxa"/>
            </w:tcMar>
          </w:tcPr>
          <w:p w14:paraId="5B77D02F"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47" wp14:editId="5B77D148">
                      <wp:extent cx="309563" cy="282408"/>
                      <wp:effectExtent l="0" t="0" r="0" b="0"/>
                      <wp:docPr id="71"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5"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71" name="image71.png"/>
                      <a:graphic>
                        <a:graphicData uri="http://schemas.openxmlformats.org/drawingml/2006/picture">
                          <pic:pic>
                            <pic:nvPicPr>
                              <pic:cNvPr id="0" name="image71.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33" w14:textId="77777777">
        <w:tc>
          <w:tcPr>
            <w:tcW w:w="7845" w:type="dxa"/>
            <w:tcBorders>
              <w:left w:val="single" w:sz="6" w:space="0" w:color="000000"/>
            </w:tcBorders>
            <w:tcMar>
              <w:top w:w="40" w:type="dxa"/>
              <w:left w:w="40" w:type="dxa"/>
              <w:bottom w:w="40" w:type="dxa"/>
              <w:right w:w="40" w:type="dxa"/>
            </w:tcMar>
          </w:tcPr>
          <w:p w14:paraId="5B77D031"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evaluate the reliability of a homemade laparoscopic endotrainer, following the Model for Innovation and Surgical Technology Evaluation and Learning (MISTEL) and Idea, Development, Exploration, Assessment, and Long-term study (IDEAL) framework guidelines</w:t>
            </w:r>
            <w:r>
              <w:rPr>
                <w:rFonts w:ascii="Calibri" w:eastAsia="Calibri" w:hAnsi="Calibri" w:cs="Calibri"/>
                <w:sz w:val="18"/>
                <w:szCs w:val="18"/>
              </w:rPr>
              <w:t>. (Malik et al, 2024)</w:t>
            </w:r>
            <w:r>
              <w:rPr>
                <w:rFonts w:ascii="Calibri" w:eastAsia="Calibri" w:hAnsi="Calibri" w:cs="Calibri"/>
                <w:sz w:val="18"/>
                <w:szCs w:val="18"/>
                <w:vertAlign w:val="superscript"/>
              </w:rPr>
              <w:t>56</w:t>
            </w:r>
          </w:p>
        </w:tc>
        <w:tc>
          <w:tcPr>
            <w:tcW w:w="1245" w:type="dxa"/>
            <w:tcMar>
              <w:top w:w="40" w:type="dxa"/>
              <w:left w:w="40" w:type="dxa"/>
              <w:bottom w:w="40" w:type="dxa"/>
              <w:right w:w="40" w:type="dxa"/>
            </w:tcMar>
          </w:tcPr>
          <w:p w14:paraId="5B77D032"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49" wp14:editId="5B77D14A">
                      <wp:extent cx="309563" cy="282408"/>
                      <wp:effectExtent l="0" t="0" r="0" b="0"/>
                      <wp:docPr id="50"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6"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0" name="image50.png"/>
                      <a:graphic>
                        <a:graphicData uri="http://schemas.openxmlformats.org/drawingml/2006/picture">
                          <pic:pic>
                            <pic:nvPicPr>
                              <pic:cNvPr id="0" name="image50.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36" w14:textId="77777777">
        <w:tc>
          <w:tcPr>
            <w:tcW w:w="7845" w:type="dxa"/>
            <w:tcBorders>
              <w:left w:val="single" w:sz="6" w:space="0" w:color="000000"/>
            </w:tcBorders>
            <w:tcMar>
              <w:top w:w="40" w:type="dxa"/>
              <w:left w:w="40" w:type="dxa"/>
              <w:bottom w:w="40" w:type="dxa"/>
              <w:right w:w="40" w:type="dxa"/>
            </w:tcMar>
          </w:tcPr>
          <w:p w14:paraId="5B77D034"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validity of Objective Structured Practical Examination (OSPE) over Traditional Practical Examination (TDPE) as a system of assessment (Malik et al, 2009)</w:t>
            </w:r>
            <w:r>
              <w:rPr>
                <w:rFonts w:ascii="Calibri" w:eastAsia="Calibri" w:hAnsi="Calibri" w:cs="Calibri"/>
                <w:sz w:val="18"/>
                <w:szCs w:val="18"/>
                <w:vertAlign w:val="superscript"/>
              </w:rPr>
              <w:t>57</w:t>
            </w:r>
          </w:p>
        </w:tc>
        <w:tc>
          <w:tcPr>
            <w:tcW w:w="1245" w:type="dxa"/>
            <w:tcMar>
              <w:top w:w="40" w:type="dxa"/>
              <w:left w:w="40" w:type="dxa"/>
              <w:bottom w:w="40" w:type="dxa"/>
              <w:right w:w="40" w:type="dxa"/>
            </w:tcMar>
          </w:tcPr>
          <w:p w14:paraId="5B77D035"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4B" wp14:editId="5B77D14C">
                      <wp:extent cx="309563" cy="282408"/>
                      <wp:effectExtent l="0" t="0" r="0" b="0"/>
                      <wp:docPr id="25"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7"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5" name="image25.png"/>
                      <a:graphic>
                        <a:graphicData uri="http://schemas.openxmlformats.org/drawingml/2006/picture">
                          <pic:pic>
                            <pic:nvPicPr>
                              <pic:cNvPr id="0" name="image25.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39" w14:textId="77777777">
        <w:tc>
          <w:tcPr>
            <w:tcW w:w="7845" w:type="dxa"/>
            <w:tcBorders>
              <w:left w:val="single" w:sz="6" w:space="0" w:color="000000"/>
            </w:tcBorders>
            <w:tcMar>
              <w:top w:w="40" w:type="dxa"/>
              <w:left w:w="40" w:type="dxa"/>
              <w:bottom w:w="40" w:type="dxa"/>
              <w:right w:w="40" w:type="dxa"/>
            </w:tcMar>
          </w:tcPr>
          <w:p w14:paraId="5B77D037"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compare the movie-based and traditional verbal demonstration teaching methodologies through Objective Structured Practical Examination (OSPE) scores (Malik et al, 2013)</w:t>
            </w:r>
            <w:r>
              <w:rPr>
                <w:rFonts w:ascii="Calibri" w:eastAsia="Calibri" w:hAnsi="Calibri" w:cs="Calibri"/>
                <w:sz w:val="18"/>
                <w:szCs w:val="18"/>
                <w:vertAlign w:val="superscript"/>
              </w:rPr>
              <w:t>58</w:t>
            </w:r>
          </w:p>
        </w:tc>
        <w:tc>
          <w:tcPr>
            <w:tcW w:w="1245" w:type="dxa"/>
            <w:tcMar>
              <w:top w:w="40" w:type="dxa"/>
              <w:left w:w="40" w:type="dxa"/>
              <w:bottom w:w="40" w:type="dxa"/>
              <w:right w:w="40" w:type="dxa"/>
            </w:tcMar>
          </w:tcPr>
          <w:p w14:paraId="5B77D038"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4D" wp14:editId="5B77D14E">
                      <wp:extent cx="309563" cy="282408"/>
                      <wp:effectExtent l="0" t="0" r="0" b="0"/>
                      <wp:docPr id="39"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8"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9" name="image39.png"/>
                      <a:graphic>
                        <a:graphicData uri="http://schemas.openxmlformats.org/drawingml/2006/picture">
                          <pic:pic>
                            <pic:nvPicPr>
                              <pic:cNvPr id="0" name="image39.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3C" w14:textId="77777777">
        <w:trPr>
          <w:trHeight w:val="45"/>
        </w:trPr>
        <w:tc>
          <w:tcPr>
            <w:tcW w:w="7845" w:type="dxa"/>
            <w:tcBorders>
              <w:left w:val="single" w:sz="6" w:space="0" w:color="000000"/>
            </w:tcBorders>
            <w:tcMar>
              <w:top w:w="40" w:type="dxa"/>
              <w:left w:w="40" w:type="dxa"/>
              <w:bottom w:w="40" w:type="dxa"/>
              <w:right w:w="40" w:type="dxa"/>
            </w:tcMar>
          </w:tcPr>
          <w:p w14:paraId="5B77D03A"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determine the effectiveness of virtual patients for clinical reasoning skills of ophthalmology residents and to evaluate the retention of clinical reasoning by follow up assessment (Malik et al, 2024)</w:t>
            </w:r>
            <w:r>
              <w:rPr>
                <w:rFonts w:ascii="Calibri" w:eastAsia="Calibri" w:hAnsi="Calibri" w:cs="Calibri"/>
                <w:sz w:val="18"/>
                <w:szCs w:val="18"/>
                <w:vertAlign w:val="superscript"/>
              </w:rPr>
              <w:t>59</w:t>
            </w:r>
          </w:p>
        </w:tc>
        <w:tc>
          <w:tcPr>
            <w:tcW w:w="1245" w:type="dxa"/>
            <w:tcMar>
              <w:top w:w="40" w:type="dxa"/>
              <w:left w:w="40" w:type="dxa"/>
              <w:bottom w:w="40" w:type="dxa"/>
              <w:right w:w="40" w:type="dxa"/>
            </w:tcMar>
          </w:tcPr>
          <w:p w14:paraId="5B77D03B"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4F" wp14:editId="5B77D150">
                      <wp:extent cx="309563" cy="282408"/>
                      <wp:effectExtent l="0" t="0" r="0" b="0"/>
                      <wp:docPr id="46"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9"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6" name="image46.png"/>
                      <a:graphic>
                        <a:graphicData uri="http://schemas.openxmlformats.org/drawingml/2006/picture">
                          <pic:pic>
                            <pic:nvPicPr>
                              <pic:cNvPr id="0" name="image46.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3F" w14:textId="77777777">
        <w:tc>
          <w:tcPr>
            <w:tcW w:w="7845" w:type="dxa"/>
            <w:tcBorders>
              <w:left w:val="single" w:sz="6" w:space="0" w:color="000000"/>
            </w:tcBorders>
            <w:tcMar>
              <w:top w:w="40" w:type="dxa"/>
              <w:left w:w="40" w:type="dxa"/>
              <w:bottom w:w="40" w:type="dxa"/>
              <w:right w:w="40" w:type="dxa"/>
            </w:tcMar>
          </w:tcPr>
          <w:p w14:paraId="5B77D03D"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effectiveness of high-fidelity simulation-based medical education (HF-SBME) in teaching and learning respiratory clinical examination in medical students (Martins et al, 2021)</w:t>
            </w:r>
            <w:r>
              <w:rPr>
                <w:rFonts w:ascii="Calibri" w:eastAsia="Calibri" w:hAnsi="Calibri" w:cs="Calibri"/>
                <w:sz w:val="18"/>
                <w:szCs w:val="18"/>
                <w:vertAlign w:val="superscript"/>
              </w:rPr>
              <w:t>60</w:t>
            </w:r>
          </w:p>
        </w:tc>
        <w:tc>
          <w:tcPr>
            <w:tcW w:w="1245" w:type="dxa"/>
            <w:tcMar>
              <w:top w:w="40" w:type="dxa"/>
              <w:left w:w="40" w:type="dxa"/>
              <w:bottom w:w="40" w:type="dxa"/>
              <w:right w:w="40" w:type="dxa"/>
            </w:tcMar>
          </w:tcPr>
          <w:p w14:paraId="5B77D03E"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51" wp14:editId="5B77D152">
                      <wp:extent cx="309563" cy="282408"/>
                      <wp:effectExtent l="0" t="0" r="0" b="0"/>
                      <wp:docPr id="12"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A"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2"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42" w14:textId="77777777">
        <w:tc>
          <w:tcPr>
            <w:tcW w:w="7845" w:type="dxa"/>
            <w:tcBorders>
              <w:left w:val="single" w:sz="6" w:space="0" w:color="000000"/>
            </w:tcBorders>
            <w:tcMar>
              <w:top w:w="40" w:type="dxa"/>
              <w:left w:w="40" w:type="dxa"/>
              <w:bottom w:w="40" w:type="dxa"/>
              <w:right w:w="40" w:type="dxa"/>
            </w:tcMar>
          </w:tcPr>
          <w:p w14:paraId="5B77D040"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evaluate the validity and usability of a cadaver-free hybrid system in the context of Lower-Middle Income Countries (LMICs) and to report their learning needs and whether the courses meet those needs via a comprehensive survey (Menna et al, 2024)</w:t>
            </w:r>
            <w:r>
              <w:rPr>
                <w:rFonts w:ascii="Calibri" w:eastAsia="Calibri" w:hAnsi="Calibri" w:cs="Calibri"/>
                <w:sz w:val="18"/>
                <w:szCs w:val="18"/>
                <w:vertAlign w:val="superscript"/>
              </w:rPr>
              <w:t>61</w:t>
            </w:r>
          </w:p>
        </w:tc>
        <w:tc>
          <w:tcPr>
            <w:tcW w:w="1245" w:type="dxa"/>
            <w:tcMar>
              <w:top w:w="40" w:type="dxa"/>
              <w:left w:w="40" w:type="dxa"/>
              <w:bottom w:w="40" w:type="dxa"/>
              <w:right w:w="40" w:type="dxa"/>
            </w:tcMar>
          </w:tcPr>
          <w:p w14:paraId="5B77D041"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53" wp14:editId="5B77D154">
                      <wp:extent cx="309563" cy="282408"/>
                      <wp:effectExtent l="0" t="0" r="0" b="0"/>
                      <wp:docPr id="35"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B"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35" name="image35.png"/>
                      <a:graphic>
                        <a:graphicData uri="http://schemas.openxmlformats.org/drawingml/2006/picture">
                          <pic:pic>
                            <pic:nvPicPr>
                              <pic:cNvPr id="0" name="image35.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45" w14:textId="77777777">
        <w:trPr>
          <w:trHeight w:val="90"/>
        </w:trPr>
        <w:tc>
          <w:tcPr>
            <w:tcW w:w="7845" w:type="dxa"/>
            <w:tcBorders>
              <w:left w:val="single" w:sz="6" w:space="0" w:color="000000"/>
            </w:tcBorders>
            <w:tcMar>
              <w:top w:w="40" w:type="dxa"/>
              <w:left w:w="40" w:type="dxa"/>
              <w:bottom w:w="40" w:type="dxa"/>
              <w:right w:w="40" w:type="dxa"/>
            </w:tcMar>
          </w:tcPr>
          <w:p w14:paraId="5B77D043"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compare the efficacy between two teaching strategies that is the real-life in situ simulation and conventional teaching as a tool for acquisition of tracheal intubation (Minai et al, 2014)</w:t>
            </w:r>
            <w:r>
              <w:rPr>
                <w:rFonts w:ascii="Calibri" w:eastAsia="Calibri" w:hAnsi="Calibri" w:cs="Calibri"/>
                <w:sz w:val="18"/>
                <w:szCs w:val="18"/>
                <w:vertAlign w:val="superscript"/>
              </w:rPr>
              <w:t>62</w:t>
            </w:r>
          </w:p>
        </w:tc>
        <w:tc>
          <w:tcPr>
            <w:tcW w:w="1245" w:type="dxa"/>
            <w:tcMar>
              <w:top w:w="40" w:type="dxa"/>
              <w:left w:w="40" w:type="dxa"/>
              <w:bottom w:w="40" w:type="dxa"/>
              <w:right w:w="40" w:type="dxa"/>
            </w:tcMar>
          </w:tcPr>
          <w:p w14:paraId="5B77D044"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55" wp14:editId="5B77D156">
                      <wp:extent cx="309563" cy="282408"/>
                      <wp:effectExtent l="0" t="0" r="0" b="0"/>
                      <wp:docPr id="41"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C"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1" name="image41.png"/>
                      <a:graphic>
                        <a:graphicData uri="http://schemas.openxmlformats.org/drawingml/2006/picture">
                          <pic:pic>
                            <pic:nvPicPr>
                              <pic:cNvPr id="0" name="image41.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48" w14:textId="77777777">
        <w:trPr>
          <w:trHeight w:val="486"/>
        </w:trPr>
        <w:tc>
          <w:tcPr>
            <w:tcW w:w="7845" w:type="dxa"/>
            <w:tcBorders>
              <w:left w:val="single" w:sz="6" w:space="0" w:color="000000"/>
            </w:tcBorders>
            <w:tcMar>
              <w:top w:w="40" w:type="dxa"/>
              <w:left w:w="40" w:type="dxa"/>
              <w:bottom w:w="40" w:type="dxa"/>
              <w:right w:w="40" w:type="dxa"/>
            </w:tcMar>
          </w:tcPr>
          <w:p w14:paraId="5B77D046"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determine perception of medical students about learning from integrated simulated clinical skill sessions as part of undergraduate curriculum. (Mirza et al, 2021)</w:t>
            </w:r>
            <w:r>
              <w:rPr>
                <w:rFonts w:ascii="Calibri" w:eastAsia="Calibri" w:hAnsi="Calibri" w:cs="Calibri"/>
                <w:sz w:val="18"/>
                <w:szCs w:val="18"/>
                <w:vertAlign w:val="superscript"/>
              </w:rPr>
              <w:t>63</w:t>
            </w:r>
          </w:p>
        </w:tc>
        <w:tc>
          <w:tcPr>
            <w:tcW w:w="1245" w:type="dxa"/>
            <w:tcMar>
              <w:top w:w="40" w:type="dxa"/>
              <w:left w:w="40" w:type="dxa"/>
              <w:bottom w:w="40" w:type="dxa"/>
              <w:right w:w="40" w:type="dxa"/>
            </w:tcMar>
          </w:tcPr>
          <w:p w14:paraId="5B77D047"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57" wp14:editId="5B77D158">
                      <wp:extent cx="309563" cy="282408"/>
                      <wp:effectExtent l="0" t="0" r="0" b="0"/>
                      <wp:docPr id="8"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D"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8"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4B" w14:textId="77777777">
        <w:trPr>
          <w:trHeight w:val="330"/>
        </w:trPr>
        <w:tc>
          <w:tcPr>
            <w:tcW w:w="7845" w:type="dxa"/>
            <w:tcBorders>
              <w:left w:val="single" w:sz="6" w:space="0" w:color="000000"/>
            </w:tcBorders>
            <w:tcMar>
              <w:top w:w="40" w:type="dxa"/>
              <w:left w:w="40" w:type="dxa"/>
              <w:bottom w:w="40" w:type="dxa"/>
              <w:right w:w="40" w:type="dxa"/>
            </w:tcMar>
          </w:tcPr>
          <w:p w14:paraId="5B77D049"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identify consistent or improving scores following a repetition of the same level in a cataract surgery module on EyeSi simulator (Momin et al, 2022)</w:t>
            </w:r>
            <w:r>
              <w:rPr>
                <w:rFonts w:ascii="Calibri" w:eastAsia="Calibri" w:hAnsi="Calibri" w:cs="Calibri"/>
                <w:sz w:val="18"/>
                <w:szCs w:val="18"/>
                <w:vertAlign w:val="superscript"/>
              </w:rPr>
              <w:t>64</w:t>
            </w:r>
          </w:p>
        </w:tc>
        <w:tc>
          <w:tcPr>
            <w:tcW w:w="1245" w:type="dxa"/>
            <w:tcMar>
              <w:top w:w="40" w:type="dxa"/>
              <w:left w:w="40" w:type="dxa"/>
              <w:bottom w:w="40" w:type="dxa"/>
              <w:right w:w="40" w:type="dxa"/>
            </w:tcMar>
          </w:tcPr>
          <w:p w14:paraId="5B77D04A"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59" wp14:editId="5B77D15A">
                      <wp:extent cx="309563" cy="282408"/>
                      <wp:effectExtent l="0" t="0" r="0" b="0"/>
                      <wp:docPr id="19"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E"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9"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4E" w14:textId="77777777">
        <w:trPr>
          <w:trHeight w:val="15"/>
        </w:trPr>
        <w:tc>
          <w:tcPr>
            <w:tcW w:w="7845" w:type="dxa"/>
            <w:tcBorders>
              <w:left w:val="single" w:sz="6" w:space="0" w:color="000000"/>
            </w:tcBorders>
            <w:tcMar>
              <w:top w:w="40" w:type="dxa"/>
              <w:left w:w="40" w:type="dxa"/>
              <w:bottom w:w="40" w:type="dxa"/>
              <w:right w:w="40" w:type="dxa"/>
            </w:tcMar>
          </w:tcPr>
          <w:p w14:paraId="5B77D04C"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perceptions of faculty towards simulated based learning as a method for clinical teaching and to convince the stakeholders to incorporate the use of simulation based learning(SBL) as a formal way of teaching in addition to old teaching method</w:t>
            </w:r>
            <w:r>
              <w:rPr>
                <w:rFonts w:ascii="Calibri" w:eastAsia="Calibri" w:hAnsi="Calibri" w:cs="Calibri"/>
                <w:sz w:val="18"/>
                <w:szCs w:val="18"/>
              </w:rPr>
              <w:t>s. (Qaiser et al, 2024)</w:t>
            </w:r>
            <w:r>
              <w:rPr>
                <w:rFonts w:ascii="Calibri" w:eastAsia="Calibri" w:hAnsi="Calibri" w:cs="Calibri"/>
                <w:sz w:val="18"/>
                <w:szCs w:val="18"/>
                <w:vertAlign w:val="superscript"/>
              </w:rPr>
              <w:t>65</w:t>
            </w:r>
          </w:p>
        </w:tc>
        <w:tc>
          <w:tcPr>
            <w:tcW w:w="1245" w:type="dxa"/>
            <w:tcMar>
              <w:top w:w="40" w:type="dxa"/>
              <w:left w:w="40" w:type="dxa"/>
              <w:bottom w:w="40" w:type="dxa"/>
              <w:right w:w="40" w:type="dxa"/>
            </w:tcMar>
          </w:tcPr>
          <w:p w14:paraId="5B77D04D"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5B" wp14:editId="5B77D15C">
                      <wp:extent cx="309563" cy="282408"/>
                      <wp:effectExtent l="0" t="0" r="0" b="0"/>
                      <wp:docPr id="45"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BF"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5" name="image45.png"/>
                      <a:graphic>
                        <a:graphicData uri="http://schemas.openxmlformats.org/drawingml/2006/picture">
                          <pic:pic>
                            <pic:nvPicPr>
                              <pic:cNvPr id="0" name="image45.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51" w14:textId="77777777">
        <w:trPr>
          <w:trHeight w:val="555"/>
        </w:trPr>
        <w:tc>
          <w:tcPr>
            <w:tcW w:w="7845" w:type="dxa"/>
            <w:tcBorders>
              <w:left w:val="single" w:sz="6" w:space="0" w:color="000000"/>
            </w:tcBorders>
            <w:tcMar>
              <w:top w:w="40" w:type="dxa"/>
              <w:left w:w="40" w:type="dxa"/>
              <w:bottom w:w="40" w:type="dxa"/>
              <w:right w:w="40" w:type="dxa"/>
            </w:tcMar>
          </w:tcPr>
          <w:p w14:paraId="5B77D04F"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combine clinical skills and medical informatics learning by offering a combined clinical skills and health informatics laboratory rotation to third year medical students and to determine its long-term impact. (Quadri et al, 2008)</w:t>
            </w:r>
            <w:r>
              <w:rPr>
                <w:rFonts w:ascii="Calibri" w:eastAsia="Calibri" w:hAnsi="Calibri" w:cs="Calibri"/>
                <w:sz w:val="18"/>
                <w:szCs w:val="18"/>
                <w:vertAlign w:val="superscript"/>
              </w:rPr>
              <w:t>66</w:t>
            </w:r>
          </w:p>
        </w:tc>
        <w:tc>
          <w:tcPr>
            <w:tcW w:w="1245" w:type="dxa"/>
            <w:tcMar>
              <w:top w:w="40" w:type="dxa"/>
              <w:left w:w="40" w:type="dxa"/>
              <w:bottom w:w="40" w:type="dxa"/>
              <w:right w:w="40" w:type="dxa"/>
            </w:tcMar>
          </w:tcPr>
          <w:p w14:paraId="5B77D050"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5D" wp14:editId="5B77D15E">
                      <wp:extent cx="309563" cy="282408"/>
                      <wp:effectExtent l="0" t="0" r="0" b="0"/>
                      <wp:docPr id="18"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0"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8" name="image18.png"/>
                      <a:graphic>
                        <a:graphicData uri="http://schemas.openxmlformats.org/drawingml/2006/picture">
                          <pic:pic>
                            <pic:nvPicPr>
                              <pic:cNvPr id="0" name="image18.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54" w14:textId="77777777">
        <w:trPr>
          <w:trHeight w:val="180"/>
        </w:trPr>
        <w:tc>
          <w:tcPr>
            <w:tcW w:w="7845" w:type="dxa"/>
            <w:tcBorders>
              <w:left w:val="single" w:sz="6" w:space="0" w:color="000000"/>
            </w:tcBorders>
            <w:tcMar>
              <w:top w:w="40" w:type="dxa"/>
              <w:left w:w="40" w:type="dxa"/>
              <w:bottom w:w="40" w:type="dxa"/>
              <w:right w:w="40" w:type="dxa"/>
            </w:tcMar>
          </w:tcPr>
          <w:p w14:paraId="5B77D052"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explore whether simulated patients’ feedback improves the communication skills of undergraduate medical students (Qureshi et al, 2020)</w:t>
            </w:r>
            <w:r>
              <w:rPr>
                <w:rFonts w:ascii="Calibri" w:eastAsia="Calibri" w:hAnsi="Calibri" w:cs="Calibri"/>
                <w:sz w:val="18"/>
                <w:szCs w:val="18"/>
                <w:vertAlign w:val="superscript"/>
              </w:rPr>
              <w:t>67</w:t>
            </w:r>
          </w:p>
        </w:tc>
        <w:tc>
          <w:tcPr>
            <w:tcW w:w="1245" w:type="dxa"/>
            <w:tcMar>
              <w:top w:w="40" w:type="dxa"/>
              <w:left w:w="40" w:type="dxa"/>
              <w:bottom w:w="40" w:type="dxa"/>
              <w:right w:w="40" w:type="dxa"/>
            </w:tcMar>
          </w:tcPr>
          <w:p w14:paraId="5B77D053"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5F" wp14:editId="5B77D160">
                      <wp:extent cx="309563" cy="282408"/>
                      <wp:effectExtent l="0" t="0" r="0" b="0"/>
                      <wp:docPr id="66"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1"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6" name="image66.png"/>
                      <a:graphic>
                        <a:graphicData uri="http://schemas.openxmlformats.org/drawingml/2006/picture">
                          <pic:pic>
                            <pic:nvPicPr>
                              <pic:cNvPr id="0" name="image66.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57" w14:textId="77777777">
        <w:trPr>
          <w:trHeight w:val="203"/>
        </w:trPr>
        <w:tc>
          <w:tcPr>
            <w:tcW w:w="7845" w:type="dxa"/>
            <w:tcBorders>
              <w:left w:val="single" w:sz="6" w:space="0" w:color="000000"/>
            </w:tcBorders>
            <w:tcMar>
              <w:top w:w="40" w:type="dxa"/>
              <w:left w:w="40" w:type="dxa"/>
              <w:bottom w:w="40" w:type="dxa"/>
              <w:right w:w="40" w:type="dxa"/>
            </w:tcMar>
          </w:tcPr>
          <w:p w14:paraId="5B77D055"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lastRenderedPageBreak/>
              <w:t>To determine the construct validity of UroSim® for that we compared the performance of transurethral resection of bladder tumor (TURBT) between experts and novices. (Rafi et al, 2020)</w:t>
            </w:r>
            <w:r>
              <w:rPr>
                <w:rFonts w:ascii="Calibri" w:eastAsia="Calibri" w:hAnsi="Calibri" w:cs="Calibri"/>
                <w:sz w:val="18"/>
                <w:szCs w:val="18"/>
                <w:vertAlign w:val="superscript"/>
              </w:rPr>
              <w:t>68</w:t>
            </w:r>
          </w:p>
        </w:tc>
        <w:tc>
          <w:tcPr>
            <w:tcW w:w="1245" w:type="dxa"/>
            <w:tcMar>
              <w:top w:w="40" w:type="dxa"/>
              <w:left w:w="40" w:type="dxa"/>
              <w:bottom w:w="40" w:type="dxa"/>
              <w:right w:w="40" w:type="dxa"/>
            </w:tcMar>
          </w:tcPr>
          <w:p w14:paraId="5B77D056"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61" wp14:editId="5B77D162">
                      <wp:extent cx="309563" cy="282408"/>
                      <wp:effectExtent l="0" t="0" r="0" b="0"/>
                      <wp:docPr id="1"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2"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5A" w14:textId="77777777">
        <w:trPr>
          <w:trHeight w:val="323"/>
        </w:trPr>
        <w:tc>
          <w:tcPr>
            <w:tcW w:w="7845" w:type="dxa"/>
            <w:tcBorders>
              <w:left w:val="single" w:sz="6" w:space="0" w:color="000000"/>
            </w:tcBorders>
            <w:tcMar>
              <w:top w:w="40" w:type="dxa"/>
              <w:left w:w="40" w:type="dxa"/>
              <w:bottom w:w="40" w:type="dxa"/>
              <w:right w:w="40" w:type="dxa"/>
            </w:tcMar>
          </w:tcPr>
          <w:p w14:paraId="5B77D058"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initial perceptions and experiences of medical students for the newly established clinical skills laboratory at Fazaia Ruth Pfau Medical College (FRPMC), Pakistan (Rahim et al, 2024)</w:t>
            </w:r>
            <w:r>
              <w:rPr>
                <w:rFonts w:ascii="Calibri" w:eastAsia="Calibri" w:hAnsi="Calibri" w:cs="Calibri"/>
                <w:sz w:val="18"/>
                <w:szCs w:val="18"/>
                <w:vertAlign w:val="superscript"/>
              </w:rPr>
              <w:t>69</w:t>
            </w:r>
          </w:p>
        </w:tc>
        <w:tc>
          <w:tcPr>
            <w:tcW w:w="1245" w:type="dxa"/>
            <w:tcMar>
              <w:top w:w="40" w:type="dxa"/>
              <w:left w:w="40" w:type="dxa"/>
              <w:bottom w:w="40" w:type="dxa"/>
              <w:right w:w="40" w:type="dxa"/>
            </w:tcMar>
          </w:tcPr>
          <w:p w14:paraId="5B77D059"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63" wp14:editId="5B77D164">
                      <wp:extent cx="309563" cy="282408"/>
                      <wp:effectExtent l="0" t="0" r="0" b="0"/>
                      <wp:docPr id="55"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3"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5" name="image55.png"/>
                      <a:graphic>
                        <a:graphicData uri="http://schemas.openxmlformats.org/drawingml/2006/picture">
                          <pic:pic>
                            <pic:nvPicPr>
                              <pic:cNvPr id="0" name="image55.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5D" w14:textId="77777777">
        <w:trPr>
          <w:trHeight w:val="855"/>
        </w:trPr>
        <w:tc>
          <w:tcPr>
            <w:tcW w:w="7845" w:type="dxa"/>
            <w:tcBorders>
              <w:left w:val="single" w:sz="6" w:space="0" w:color="000000"/>
            </w:tcBorders>
            <w:tcMar>
              <w:top w:w="40" w:type="dxa"/>
              <w:left w:w="40" w:type="dxa"/>
              <w:bottom w:w="40" w:type="dxa"/>
              <w:right w:w="40" w:type="dxa"/>
            </w:tcMar>
          </w:tcPr>
          <w:p w14:paraId="5B77D05B"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demonstrate a low-cost virtual training simulator for laparoscopic partial nephrectomy with help of an HTC Vive, aimed to create an anatomical model for the kidney with renal cell carcinoma (RCC) and minimal mesh representation. (Rasheed et al, 2023)</w:t>
            </w:r>
            <w:r>
              <w:rPr>
                <w:rFonts w:ascii="Calibri" w:eastAsia="Calibri" w:hAnsi="Calibri" w:cs="Calibri"/>
                <w:sz w:val="18"/>
                <w:szCs w:val="18"/>
                <w:vertAlign w:val="superscript"/>
              </w:rPr>
              <w:t>70</w:t>
            </w:r>
          </w:p>
        </w:tc>
        <w:tc>
          <w:tcPr>
            <w:tcW w:w="1245" w:type="dxa"/>
            <w:tcMar>
              <w:top w:w="40" w:type="dxa"/>
              <w:left w:w="40" w:type="dxa"/>
              <w:bottom w:w="40" w:type="dxa"/>
              <w:right w:w="40" w:type="dxa"/>
            </w:tcMar>
          </w:tcPr>
          <w:p w14:paraId="5B77D05C"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65" wp14:editId="5B77D166">
                      <wp:extent cx="309563" cy="282408"/>
                      <wp:effectExtent l="0" t="0" r="0" b="0"/>
                      <wp:docPr id="28"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4"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8" name="image28.png"/>
                      <a:graphic>
                        <a:graphicData uri="http://schemas.openxmlformats.org/drawingml/2006/picture">
                          <pic:pic>
                            <pic:nvPicPr>
                              <pic:cNvPr id="0" name="image28.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60" w14:textId="77777777">
        <w:trPr>
          <w:trHeight w:val="495"/>
        </w:trPr>
        <w:tc>
          <w:tcPr>
            <w:tcW w:w="7845" w:type="dxa"/>
            <w:tcBorders>
              <w:left w:val="single" w:sz="6" w:space="0" w:color="000000"/>
            </w:tcBorders>
            <w:tcMar>
              <w:top w:w="40" w:type="dxa"/>
              <w:left w:w="40" w:type="dxa"/>
              <w:bottom w:w="40" w:type="dxa"/>
              <w:right w:w="40" w:type="dxa"/>
            </w:tcMar>
          </w:tcPr>
          <w:p w14:paraId="5B77D05E"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present a ‘latex glove’ laparoscopic pyeloplasty (LPP) training model and determine its construct validity for its effective use in resident training. (Raza et al, 2011)</w:t>
            </w:r>
            <w:r>
              <w:rPr>
                <w:rFonts w:ascii="Calibri" w:eastAsia="Calibri" w:hAnsi="Calibri" w:cs="Calibri"/>
                <w:sz w:val="18"/>
                <w:szCs w:val="18"/>
                <w:vertAlign w:val="superscript"/>
              </w:rPr>
              <w:t>71</w:t>
            </w:r>
          </w:p>
        </w:tc>
        <w:tc>
          <w:tcPr>
            <w:tcW w:w="1245" w:type="dxa"/>
            <w:tcMar>
              <w:top w:w="40" w:type="dxa"/>
              <w:left w:w="40" w:type="dxa"/>
              <w:bottom w:w="40" w:type="dxa"/>
              <w:right w:w="40" w:type="dxa"/>
            </w:tcMar>
          </w:tcPr>
          <w:p w14:paraId="5B77D05F"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67" wp14:editId="5B77D168">
                      <wp:extent cx="309563" cy="282408"/>
                      <wp:effectExtent l="0" t="0" r="0" b="0"/>
                      <wp:docPr id="43"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5"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3" name="image43.png"/>
                      <a:graphic>
                        <a:graphicData uri="http://schemas.openxmlformats.org/drawingml/2006/picture">
                          <pic:pic>
                            <pic:nvPicPr>
                              <pic:cNvPr id="0" name="image43.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63" w14:textId="77777777">
        <w:trPr>
          <w:trHeight w:val="645"/>
        </w:trPr>
        <w:tc>
          <w:tcPr>
            <w:tcW w:w="7845" w:type="dxa"/>
            <w:tcBorders>
              <w:left w:val="single" w:sz="6" w:space="0" w:color="000000"/>
            </w:tcBorders>
            <w:tcMar>
              <w:top w:w="40" w:type="dxa"/>
              <w:left w:w="40" w:type="dxa"/>
              <w:bottom w:w="40" w:type="dxa"/>
              <w:right w:w="40" w:type="dxa"/>
            </w:tcMar>
          </w:tcPr>
          <w:p w14:paraId="5B77D061"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measure the effectiveness of the workshop in enhancing the knowledge and skills of the non-vascular surgeons in dealing with traumatic vascular emergencies. (Rehman et al, 2020)</w:t>
            </w:r>
            <w:r>
              <w:rPr>
                <w:rFonts w:ascii="Calibri" w:eastAsia="Calibri" w:hAnsi="Calibri" w:cs="Calibri"/>
                <w:sz w:val="18"/>
                <w:szCs w:val="18"/>
                <w:vertAlign w:val="superscript"/>
              </w:rPr>
              <w:t>72</w:t>
            </w:r>
          </w:p>
        </w:tc>
        <w:tc>
          <w:tcPr>
            <w:tcW w:w="1245" w:type="dxa"/>
            <w:tcMar>
              <w:top w:w="40" w:type="dxa"/>
              <w:left w:w="40" w:type="dxa"/>
              <w:bottom w:w="40" w:type="dxa"/>
              <w:right w:w="40" w:type="dxa"/>
            </w:tcMar>
          </w:tcPr>
          <w:p w14:paraId="5B77D062"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69" wp14:editId="5B77D16A">
                      <wp:extent cx="309563" cy="282408"/>
                      <wp:effectExtent l="0" t="0" r="0" b="0"/>
                      <wp:docPr id="49"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6"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9" name="image49.png"/>
                      <a:graphic>
                        <a:graphicData uri="http://schemas.openxmlformats.org/drawingml/2006/picture">
                          <pic:pic>
                            <pic:nvPicPr>
                              <pic:cNvPr id="0" name="image49.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66" w14:textId="77777777">
        <w:trPr>
          <w:trHeight w:val="15"/>
        </w:trPr>
        <w:tc>
          <w:tcPr>
            <w:tcW w:w="7845" w:type="dxa"/>
            <w:tcBorders>
              <w:left w:val="single" w:sz="6" w:space="0" w:color="000000"/>
            </w:tcBorders>
            <w:tcMar>
              <w:top w:w="40" w:type="dxa"/>
              <w:left w:w="40" w:type="dxa"/>
              <w:bottom w:w="40" w:type="dxa"/>
              <w:right w:w="40" w:type="dxa"/>
            </w:tcMar>
          </w:tcPr>
          <w:p w14:paraId="5B77D064"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identify the validity, fidelity, and feasibility of the use of moulage‑based simulation in summative assessment (Sabzwari et al, 2017)</w:t>
            </w:r>
            <w:r>
              <w:rPr>
                <w:rFonts w:ascii="Calibri" w:eastAsia="Calibri" w:hAnsi="Calibri" w:cs="Calibri"/>
                <w:sz w:val="18"/>
                <w:szCs w:val="18"/>
                <w:vertAlign w:val="superscript"/>
              </w:rPr>
              <w:t>73</w:t>
            </w:r>
          </w:p>
        </w:tc>
        <w:tc>
          <w:tcPr>
            <w:tcW w:w="1245" w:type="dxa"/>
            <w:tcMar>
              <w:top w:w="40" w:type="dxa"/>
              <w:left w:w="40" w:type="dxa"/>
              <w:bottom w:w="40" w:type="dxa"/>
              <w:right w:w="40" w:type="dxa"/>
            </w:tcMar>
          </w:tcPr>
          <w:p w14:paraId="5B77D065"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6B" wp14:editId="5B77D16C">
                      <wp:extent cx="309563" cy="282408"/>
                      <wp:effectExtent l="0" t="0" r="0" b="0"/>
                      <wp:docPr id="59"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7"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9" name="image59.png"/>
                      <a:graphic>
                        <a:graphicData uri="http://schemas.openxmlformats.org/drawingml/2006/picture">
                          <pic:pic>
                            <pic:nvPicPr>
                              <pic:cNvPr id="0" name="image59.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69" w14:textId="77777777">
        <w:trPr>
          <w:trHeight w:val="15"/>
        </w:trPr>
        <w:tc>
          <w:tcPr>
            <w:tcW w:w="7845" w:type="dxa"/>
            <w:tcBorders>
              <w:left w:val="single" w:sz="6" w:space="0" w:color="000000"/>
            </w:tcBorders>
            <w:tcMar>
              <w:top w:w="40" w:type="dxa"/>
              <w:left w:w="40" w:type="dxa"/>
              <w:bottom w:w="40" w:type="dxa"/>
              <w:right w:w="40" w:type="dxa"/>
            </w:tcMar>
          </w:tcPr>
          <w:p w14:paraId="5B77D067"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create virtual patients as an educational tool to determine their feasibility and effectiveness in clinical problem solving (Sabzwari et al, 2023)</w:t>
            </w:r>
            <w:r>
              <w:rPr>
                <w:rFonts w:ascii="Calibri" w:eastAsia="Calibri" w:hAnsi="Calibri" w:cs="Calibri"/>
                <w:sz w:val="18"/>
                <w:szCs w:val="18"/>
                <w:vertAlign w:val="superscript"/>
              </w:rPr>
              <w:t>74</w:t>
            </w:r>
          </w:p>
        </w:tc>
        <w:tc>
          <w:tcPr>
            <w:tcW w:w="1245" w:type="dxa"/>
            <w:tcMar>
              <w:top w:w="40" w:type="dxa"/>
              <w:left w:w="40" w:type="dxa"/>
              <w:bottom w:w="40" w:type="dxa"/>
              <w:right w:w="40" w:type="dxa"/>
            </w:tcMar>
          </w:tcPr>
          <w:p w14:paraId="5B77D068"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6D" wp14:editId="5B77D16E">
                      <wp:extent cx="309563" cy="282408"/>
                      <wp:effectExtent l="0" t="0" r="0" b="0"/>
                      <wp:docPr id="63"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8"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3" name="image63.png"/>
                      <a:graphic>
                        <a:graphicData uri="http://schemas.openxmlformats.org/drawingml/2006/picture">
                          <pic:pic>
                            <pic:nvPicPr>
                              <pic:cNvPr id="0" name="image63.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6C" w14:textId="77777777">
        <w:trPr>
          <w:trHeight w:val="90"/>
        </w:trPr>
        <w:tc>
          <w:tcPr>
            <w:tcW w:w="7845" w:type="dxa"/>
            <w:tcBorders>
              <w:left w:val="single" w:sz="6" w:space="0" w:color="000000"/>
            </w:tcBorders>
            <w:tcMar>
              <w:top w:w="40" w:type="dxa"/>
              <w:left w:w="40" w:type="dxa"/>
              <w:bottom w:w="40" w:type="dxa"/>
              <w:right w:w="40" w:type="dxa"/>
            </w:tcMar>
          </w:tcPr>
          <w:p w14:paraId="5B77D06A"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see the effectiveness of simulation-based integration for teaching clinical skills on student learning, their performance in their Objective Structured Clinical Exams (OCSE) exams and their experiences of learning in that environment as learners. (Saeed</w:t>
            </w:r>
            <w:r>
              <w:rPr>
                <w:rFonts w:ascii="Calibri" w:eastAsia="Calibri" w:hAnsi="Calibri" w:cs="Calibri"/>
                <w:sz w:val="18"/>
                <w:szCs w:val="18"/>
              </w:rPr>
              <w:t xml:space="preserve"> et al, 2023)</w:t>
            </w:r>
            <w:r>
              <w:rPr>
                <w:rFonts w:ascii="Calibri" w:eastAsia="Calibri" w:hAnsi="Calibri" w:cs="Calibri"/>
                <w:sz w:val="18"/>
                <w:szCs w:val="18"/>
                <w:vertAlign w:val="superscript"/>
              </w:rPr>
              <w:t>75</w:t>
            </w:r>
          </w:p>
        </w:tc>
        <w:tc>
          <w:tcPr>
            <w:tcW w:w="1245" w:type="dxa"/>
            <w:tcMar>
              <w:top w:w="40" w:type="dxa"/>
              <w:left w:w="40" w:type="dxa"/>
              <w:bottom w:w="40" w:type="dxa"/>
              <w:right w:w="40" w:type="dxa"/>
            </w:tcMar>
          </w:tcPr>
          <w:p w14:paraId="5B77D06B"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6F" wp14:editId="5B77D170">
                      <wp:extent cx="309563" cy="282408"/>
                      <wp:effectExtent l="0" t="0" r="0" b="0"/>
                      <wp:docPr id="58"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9"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8" name="image58.png"/>
                      <a:graphic>
                        <a:graphicData uri="http://schemas.openxmlformats.org/drawingml/2006/picture">
                          <pic:pic>
                            <pic:nvPicPr>
                              <pic:cNvPr id="0" name="image58.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6F" w14:textId="77777777">
        <w:trPr>
          <w:trHeight w:val="275"/>
        </w:trPr>
        <w:tc>
          <w:tcPr>
            <w:tcW w:w="7845" w:type="dxa"/>
            <w:tcBorders>
              <w:left w:val="single" w:sz="6" w:space="0" w:color="000000"/>
            </w:tcBorders>
            <w:tcMar>
              <w:top w:w="40" w:type="dxa"/>
              <w:left w:w="40" w:type="dxa"/>
              <w:bottom w:w="40" w:type="dxa"/>
              <w:right w:w="40" w:type="dxa"/>
            </w:tcMar>
          </w:tcPr>
          <w:p w14:paraId="5B77D06D"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 xml:space="preserve">To measure the effectiveness of hybridizing video-based learning with simulation for the teaching of clinical skills on the perceived self-efficacy of students, the student’s satisfaction with the learning pedagogy, and their performance in their clinical </w:t>
            </w:r>
            <w:r>
              <w:rPr>
                <w:rFonts w:ascii="Calibri" w:eastAsia="Calibri" w:hAnsi="Calibri" w:cs="Calibri"/>
                <w:sz w:val="18"/>
                <w:szCs w:val="18"/>
              </w:rPr>
              <w:t>exams (OSCE) (Saeed et al, 2023)</w:t>
            </w:r>
            <w:r>
              <w:rPr>
                <w:rFonts w:ascii="Calibri" w:eastAsia="Calibri" w:hAnsi="Calibri" w:cs="Calibri"/>
                <w:sz w:val="18"/>
                <w:szCs w:val="18"/>
                <w:vertAlign w:val="superscript"/>
              </w:rPr>
              <w:t>76</w:t>
            </w:r>
          </w:p>
        </w:tc>
        <w:tc>
          <w:tcPr>
            <w:tcW w:w="1245" w:type="dxa"/>
            <w:tcMar>
              <w:top w:w="40" w:type="dxa"/>
              <w:left w:w="40" w:type="dxa"/>
              <w:bottom w:w="40" w:type="dxa"/>
              <w:right w:w="40" w:type="dxa"/>
            </w:tcMar>
          </w:tcPr>
          <w:p w14:paraId="5B77D06E"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71" wp14:editId="5B77D172">
                      <wp:extent cx="309563" cy="282408"/>
                      <wp:effectExtent l="0" t="0" r="0" b="0"/>
                      <wp:docPr id="51"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A"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1" name="image51.png"/>
                      <a:graphic>
                        <a:graphicData uri="http://schemas.openxmlformats.org/drawingml/2006/picture">
                          <pic:pic>
                            <pic:nvPicPr>
                              <pic:cNvPr id="0" name="image51.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72" w14:textId="77777777">
        <w:trPr>
          <w:trHeight w:val="280"/>
        </w:trPr>
        <w:tc>
          <w:tcPr>
            <w:tcW w:w="7845" w:type="dxa"/>
            <w:tcBorders>
              <w:left w:val="single" w:sz="6" w:space="0" w:color="000000"/>
            </w:tcBorders>
            <w:tcMar>
              <w:top w:w="40" w:type="dxa"/>
              <w:left w:w="40" w:type="dxa"/>
              <w:bottom w:w="40" w:type="dxa"/>
              <w:right w:w="40" w:type="dxa"/>
            </w:tcMar>
          </w:tcPr>
          <w:p w14:paraId="5B77D070"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explore the effects of text, video and immersive technologies learning methodologies for participants’ learning in public and private medical colleges and universities of Pakistan (Sattar et al, 2021)</w:t>
            </w:r>
            <w:r>
              <w:rPr>
                <w:rFonts w:ascii="Calibri" w:eastAsia="Calibri" w:hAnsi="Calibri" w:cs="Calibri"/>
                <w:sz w:val="18"/>
                <w:szCs w:val="18"/>
                <w:vertAlign w:val="superscript"/>
              </w:rPr>
              <w:t>77</w:t>
            </w:r>
          </w:p>
        </w:tc>
        <w:tc>
          <w:tcPr>
            <w:tcW w:w="1245" w:type="dxa"/>
            <w:tcMar>
              <w:top w:w="40" w:type="dxa"/>
              <w:left w:w="40" w:type="dxa"/>
              <w:bottom w:w="40" w:type="dxa"/>
              <w:right w:w="40" w:type="dxa"/>
            </w:tcMar>
          </w:tcPr>
          <w:p w14:paraId="5B77D071"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73" wp14:editId="5B77D174">
                      <wp:extent cx="309563" cy="282408"/>
                      <wp:effectExtent l="0" t="0" r="0" b="0"/>
                      <wp:docPr id="65"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B"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5" name="image65.png"/>
                      <a:graphic>
                        <a:graphicData uri="http://schemas.openxmlformats.org/drawingml/2006/picture">
                          <pic:pic>
                            <pic:nvPicPr>
                              <pic:cNvPr id="0" name="image65.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75" w14:textId="77777777">
        <w:trPr>
          <w:trHeight w:val="90"/>
        </w:trPr>
        <w:tc>
          <w:tcPr>
            <w:tcW w:w="7845" w:type="dxa"/>
            <w:tcBorders>
              <w:left w:val="single" w:sz="6" w:space="0" w:color="000000"/>
            </w:tcBorders>
            <w:tcMar>
              <w:top w:w="40" w:type="dxa"/>
              <w:left w:w="40" w:type="dxa"/>
              <w:bottom w:w="40" w:type="dxa"/>
              <w:right w:w="40" w:type="dxa"/>
            </w:tcMar>
          </w:tcPr>
          <w:p w14:paraId="5B77D073"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investigate the effects of design parameters on the user experience of virtual reality medical training (Sattar et al, 2019)</w:t>
            </w:r>
            <w:r>
              <w:rPr>
                <w:rFonts w:ascii="Calibri" w:eastAsia="Calibri" w:hAnsi="Calibri" w:cs="Calibri"/>
                <w:sz w:val="18"/>
                <w:szCs w:val="18"/>
                <w:vertAlign w:val="superscript"/>
              </w:rPr>
              <w:t>78</w:t>
            </w:r>
          </w:p>
        </w:tc>
        <w:tc>
          <w:tcPr>
            <w:tcW w:w="1245" w:type="dxa"/>
            <w:tcMar>
              <w:top w:w="40" w:type="dxa"/>
              <w:left w:w="40" w:type="dxa"/>
              <w:bottom w:w="40" w:type="dxa"/>
              <w:right w:w="40" w:type="dxa"/>
            </w:tcMar>
          </w:tcPr>
          <w:p w14:paraId="5B77D074"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75" wp14:editId="5B77D176">
                      <wp:extent cx="309563" cy="282408"/>
                      <wp:effectExtent l="0" t="0" r="0" b="0"/>
                      <wp:docPr id="48"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C"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8" name="image48.png"/>
                      <a:graphic>
                        <a:graphicData uri="http://schemas.openxmlformats.org/drawingml/2006/picture">
                          <pic:pic>
                            <pic:nvPicPr>
                              <pic:cNvPr id="0" name="image48.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78" w14:textId="77777777">
        <w:trPr>
          <w:trHeight w:val="585"/>
        </w:trPr>
        <w:tc>
          <w:tcPr>
            <w:tcW w:w="7845" w:type="dxa"/>
            <w:tcBorders>
              <w:left w:val="single" w:sz="6" w:space="0" w:color="000000"/>
            </w:tcBorders>
            <w:tcMar>
              <w:top w:w="40" w:type="dxa"/>
              <w:left w:w="40" w:type="dxa"/>
              <w:bottom w:w="40" w:type="dxa"/>
              <w:right w:w="40" w:type="dxa"/>
            </w:tcMar>
          </w:tcPr>
          <w:p w14:paraId="5B77D076"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bring relevance to basic science laboratory practical examinations by conducting competency-based integrated practical examination (IPEs) and to analyze its efficacy for the students (Shafi et al, 2010)</w:t>
            </w:r>
            <w:r>
              <w:rPr>
                <w:rFonts w:ascii="Calibri" w:eastAsia="Calibri" w:hAnsi="Calibri" w:cs="Calibri"/>
                <w:sz w:val="18"/>
                <w:szCs w:val="18"/>
                <w:vertAlign w:val="superscript"/>
              </w:rPr>
              <w:t>79</w:t>
            </w:r>
          </w:p>
        </w:tc>
        <w:tc>
          <w:tcPr>
            <w:tcW w:w="1245" w:type="dxa"/>
            <w:tcMar>
              <w:top w:w="40" w:type="dxa"/>
              <w:left w:w="40" w:type="dxa"/>
              <w:bottom w:w="40" w:type="dxa"/>
              <w:right w:w="40" w:type="dxa"/>
            </w:tcMar>
          </w:tcPr>
          <w:p w14:paraId="5B77D077"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77" wp14:editId="5B77D178">
                      <wp:extent cx="309563" cy="282408"/>
                      <wp:effectExtent l="0" t="0" r="0" b="0"/>
                      <wp:docPr id="57"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D"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7" name="image57.png"/>
                      <a:graphic>
                        <a:graphicData uri="http://schemas.openxmlformats.org/drawingml/2006/picture">
                          <pic:pic>
                            <pic:nvPicPr>
                              <pic:cNvPr id="0" name="image57.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7B" w14:textId="77777777">
        <w:tc>
          <w:tcPr>
            <w:tcW w:w="7845" w:type="dxa"/>
            <w:tcBorders>
              <w:left w:val="single" w:sz="6" w:space="0" w:color="000000"/>
            </w:tcBorders>
            <w:tcMar>
              <w:top w:w="40" w:type="dxa"/>
              <w:left w:w="40" w:type="dxa"/>
              <w:bottom w:w="40" w:type="dxa"/>
              <w:right w:w="40" w:type="dxa"/>
            </w:tcMar>
          </w:tcPr>
          <w:p w14:paraId="5B77D079"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do a preliminary evaluation of the Clinical Skills Centre (CSC) training programme based on assessment of competence of students on clinical skill stations (CSS) and to measure the satisfaction level of students from the training (Shafiq et al, 2017)</w:t>
            </w:r>
            <w:r>
              <w:rPr>
                <w:rFonts w:ascii="Calibri" w:eastAsia="Calibri" w:hAnsi="Calibri" w:cs="Calibri"/>
                <w:sz w:val="18"/>
                <w:szCs w:val="18"/>
                <w:vertAlign w:val="superscript"/>
              </w:rPr>
              <w:t>80</w:t>
            </w:r>
          </w:p>
        </w:tc>
        <w:tc>
          <w:tcPr>
            <w:tcW w:w="1245" w:type="dxa"/>
            <w:tcMar>
              <w:top w:w="40" w:type="dxa"/>
              <w:left w:w="40" w:type="dxa"/>
              <w:bottom w:w="40" w:type="dxa"/>
              <w:right w:w="40" w:type="dxa"/>
            </w:tcMar>
          </w:tcPr>
          <w:p w14:paraId="5B77D07A"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79" wp14:editId="5B77D17A">
                      <wp:extent cx="309563" cy="282408"/>
                      <wp:effectExtent l="0" t="0" r="0" b="0"/>
                      <wp:docPr id="5"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E"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7E" w14:textId="77777777">
        <w:trPr>
          <w:trHeight w:val="15"/>
        </w:trPr>
        <w:tc>
          <w:tcPr>
            <w:tcW w:w="7845" w:type="dxa"/>
            <w:tcBorders>
              <w:left w:val="single" w:sz="6" w:space="0" w:color="000000"/>
            </w:tcBorders>
            <w:tcMar>
              <w:top w:w="40" w:type="dxa"/>
              <w:left w:w="40" w:type="dxa"/>
              <w:bottom w:w="40" w:type="dxa"/>
              <w:right w:w="40" w:type="dxa"/>
            </w:tcMar>
          </w:tcPr>
          <w:p w14:paraId="5B77D07C"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effectiveness of medium fidelity simulator in teaching normal vaginal delivery to medical students (Shah et al, 2017)</w:t>
            </w:r>
            <w:r>
              <w:rPr>
                <w:rFonts w:ascii="Calibri" w:eastAsia="Calibri" w:hAnsi="Calibri" w:cs="Calibri"/>
                <w:sz w:val="18"/>
                <w:szCs w:val="18"/>
                <w:vertAlign w:val="superscript"/>
              </w:rPr>
              <w:t>81</w:t>
            </w:r>
          </w:p>
        </w:tc>
        <w:tc>
          <w:tcPr>
            <w:tcW w:w="1245" w:type="dxa"/>
            <w:tcMar>
              <w:top w:w="40" w:type="dxa"/>
              <w:left w:w="40" w:type="dxa"/>
              <w:bottom w:w="40" w:type="dxa"/>
              <w:right w:w="40" w:type="dxa"/>
            </w:tcMar>
          </w:tcPr>
          <w:p w14:paraId="5B77D07D"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7B" wp14:editId="5B77D17C">
                      <wp:extent cx="309563" cy="282408"/>
                      <wp:effectExtent l="0" t="0" r="0" b="0"/>
                      <wp:docPr id="73"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CF"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73" name="image73.png"/>
                      <a:graphic>
                        <a:graphicData uri="http://schemas.openxmlformats.org/drawingml/2006/picture">
                          <pic:pic>
                            <pic:nvPicPr>
                              <pic:cNvPr id="0" name="image73.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81" w14:textId="77777777">
        <w:trPr>
          <w:trHeight w:val="330"/>
        </w:trPr>
        <w:tc>
          <w:tcPr>
            <w:tcW w:w="7845" w:type="dxa"/>
            <w:tcBorders>
              <w:left w:val="single" w:sz="6" w:space="0" w:color="000000"/>
            </w:tcBorders>
            <w:tcMar>
              <w:top w:w="40" w:type="dxa"/>
              <w:left w:w="40" w:type="dxa"/>
              <w:bottom w:w="40" w:type="dxa"/>
              <w:right w:w="40" w:type="dxa"/>
            </w:tcMar>
          </w:tcPr>
          <w:p w14:paraId="5B77D07F"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assess the impact of laparoscopic simulation training on surgical skills of trainee surgeons (Shaikh et al, 2021)</w:t>
            </w:r>
            <w:r>
              <w:rPr>
                <w:rFonts w:ascii="Calibri" w:eastAsia="Calibri" w:hAnsi="Calibri" w:cs="Calibri"/>
                <w:sz w:val="18"/>
                <w:szCs w:val="18"/>
                <w:vertAlign w:val="superscript"/>
              </w:rPr>
              <w:t>82</w:t>
            </w:r>
          </w:p>
        </w:tc>
        <w:tc>
          <w:tcPr>
            <w:tcW w:w="1245" w:type="dxa"/>
            <w:tcMar>
              <w:top w:w="40" w:type="dxa"/>
              <w:left w:w="40" w:type="dxa"/>
              <w:bottom w:w="40" w:type="dxa"/>
              <w:right w:w="40" w:type="dxa"/>
            </w:tcMar>
          </w:tcPr>
          <w:p w14:paraId="5B77D080"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7D" wp14:editId="5B77D17E">
                      <wp:extent cx="309563" cy="282408"/>
                      <wp:effectExtent l="0" t="0" r="0" b="0"/>
                      <wp:docPr id="56"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0"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56" name="image56.png"/>
                      <a:graphic>
                        <a:graphicData uri="http://schemas.openxmlformats.org/drawingml/2006/picture">
                          <pic:pic>
                            <pic:nvPicPr>
                              <pic:cNvPr id="0" name="image56.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84" w14:textId="77777777">
        <w:trPr>
          <w:trHeight w:val="186"/>
        </w:trPr>
        <w:tc>
          <w:tcPr>
            <w:tcW w:w="7845" w:type="dxa"/>
            <w:tcBorders>
              <w:left w:val="single" w:sz="6" w:space="0" w:color="000000"/>
            </w:tcBorders>
            <w:tcMar>
              <w:top w:w="40" w:type="dxa"/>
              <w:left w:w="40" w:type="dxa"/>
              <w:bottom w:w="40" w:type="dxa"/>
              <w:right w:w="40" w:type="dxa"/>
            </w:tcMar>
          </w:tcPr>
          <w:p w14:paraId="5B77D082"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analyze feedback of cardiovascular fellow-in-training regarding this mode of learning before large scale implementation”. (Shams et al, 2021)</w:t>
            </w:r>
            <w:r>
              <w:rPr>
                <w:rFonts w:ascii="Calibri" w:eastAsia="Calibri" w:hAnsi="Calibri" w:cs="Calibri"/>
                <w:sz w:val="18"/>
                <w:szCs w:val="18"/>
                <w:vertAlign w:val="superscript"/>
              </w:rPr>
              <w:t>83</w:t>
            </w:r>
          </w:p>
        </w:tc>
        <w:tc>
          <w:tcPr>
            <w:tcW w:w="1245" w:type="dxa"/>
            <w:tcMar>
              <w:top w:w="40" w:type="dxa"/>
              <w:left w:w="40" w:type="dxa"/>
              <w:bottom w:w="40" w:type="dxa"/>
              <w:right w:w="40" w:type="dxa"/>
            </w:tcMar>
          </w:tcPr>
          <w:p w14:paraId="5B77D083"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7F" wp14:editId="5B77D180">
                      <wp:extent cx="309563" cy="282408"/>
                      <wp:effectExtent l="0" t="0" r="0" b="0"/>
                      <wp:docPr id="9"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1"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9"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87" w14:textId="77777777">
        <w:trPr>
          <w:trHeight w:val="390"/>
        </w:trPr>
        <w:tc>
          <w:tcPr>
            <w:tcW w:w="7845" w:type="dxa"/>
            <w:tcBorders>
              <w:left w:val="single" w:sz="6" w:space="0" w:color="000000"/>
            </w:tcBorders>
            <w:tcMar>
              <w:top w:w="40" w:type="dxa"/>
              <w:left w:w="40" w:type="dxa"/>
              <w:bottom w:w="40" w:type="dxa"/>
              <w:right w:w="40" w:type="dxa"/>
            </w:tcMar>
          </w:tcPr>
          <w:p w14:paraId="5B77D085"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By conducting mock tumour board activities, the aim is to provide practical experience and a comprehensive understanding of the operational aspects of tumour boards, equipping students with the necessary skills and knowledge for their future roles in multi</w:t>
            </w:r>
            <w:r>
              <w:rPr>
                <w:rFonts w:ascii="Calibri" w:eastAsia="Calibri" w:hAnsi="Calibri" w:cs="Calibri"/>
                <w:sz w:val="18"/>
                <w:szCs w:val="18"/>
              </w:rPr>
              <w:t>disciplinary cancer care teams. (Shaukat et al, 2024)</w:t>
            </w:r>
            <w:r>
              <w:rPr>
                <w:rFonts w:ascii="Calibri" w:eastAsia="Calibri" w:hAnsi="Calibri" w:cs="Calibri"/>
                <w:sz w:val="18"/>
                <w:szCs w:val="18"/>
                <w:vertAlign w:val="superscript"/>
              </w:rPr>
              <w:t>84</w:t>
            </w:r>
          </w:p>
        </w:tc>
        <w:tc>
          <w:tcPr>
            <w:tcW w:w="1245" w:type="dxa"/>
            <w:tcMar>
              <w:top w:w="40" w:type="dxa"/>
              <w:left w:w="40" w:type="dxa"/>
              <w:bottom w:w="40" w:type="dxa"/>
              <w:right w:w="40" w:type="dxa"/>
            </w:tcMar>
          </w:tcPr>
          <w:p w14:paraId="5B77D086"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81" wp14:editId="5B77D182">
                      <wp:extent cx="309563" cy="282408"/>
                      <wp:effectExtent l="0" t="0" r="0" b="0"/>
                      <wp:docPr id="14"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2"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4"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8A" w14:textId="77777777">
        <w:tc>
          <w:tcPr>
            <w:tcW w:w="7845" w:type="dxa"/>
            <w:tcBorders>
              <w:left w:val="single" w:sz="6" w:space="0" w:color="000000"/>
            </w:tcBorders>
            <w:tcMar>
              <w:top w:w="40" w:type="dxa"/>
              <w:left w:w="40" w:type="dxa"/>
              <w:bottom w:w="40" w:type="dxa"/>
              <w:right w:w="40" w:type="dxa"/>
            </w:tcMar>
          </w:tcPr>
          <w:p w14:paraId="5B77D088"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develop and validate a task-specific rating scale (TSRS) by comparing with the Global Rating Scale (GRS) for the evaluation of brachial artery embolectomy (BAE) and a secondary objective to estimate criterion cut-off points of the TSRS against overall G</w:t>
            </w:r>
            <w:r>
              <w:rPr>
                <w:rFonts w:ascii="Calibri" w:eastAsia="Calibri" w:hAnsi="Calibri" w:cs="Calibri"/>
                <w:sz w:val="18"/>
                <w:szCs w:val="18"/>
              </w:rPr>
              <w:t xml:space="preserve">RS binary scores to declare trainees as successful candidates </w:t>
            </w:r>
            <w:r>
              <w:rPr>
                <w:rFonts w:ascii="Calibri" w:eastAsia="Calibri" w:hAnsi="Calibri" w:cs="Calibri"/>
                <w:sz w:val="18"/>
                <w:szCs w:val="18"/>
              </w:rPr>
              <w:lastRenderedPageBreak/>
              <w:t>(Siddiqui et al, 2022)</w:t>
            </w:r>
            <w:r>
              <w:rPr>
                <w:rFonts w:ascii="Calibri" w:eastAsia="Calibri" w:hAnsi="Calibri" w:cs="Calibri"/>
                <w:sz w:val="18"/>
                <w:szCs w:val="18"/>
                <w:vertAlign w:val="superscript"/>
              </w:rPr>
              <w:t>85</w:t>
            </w:r>
          </w:p>
        </w:tc>
        <w:tc>
          <w:tcPr>
            <w:tcW w:w="1245" w:type="dxa"/>
            <w:tcMar>
              <w:top w:w="40" w:type="dxa"/>
              <w:left w:w="40" w:type="dxa"/>
              <w:bottom w:w="40" w:type="dxa"/>
              <w:right w:w="40" w:type="dxa"/>
            </w:tcMar>
          </w:tcPr>
          <w:p w14:paraId="5B77D089"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w:lastRenderedPageBreak/>
              <mc:AlternateContent>
                <mc:Choice Requires="wpg">
                  <w:drawing>
                    <wp:inline distT="114300" distB="114300" distL="114300" distR="114300" wp14:anchorId="5B77D183" wp14:editId="5B77D184">
                      <wp:extent cx="309563" cy="282408"/>
                      <wp:effectExtent l="0" t="0" r="0" b="0"/>
                      <wp:docPr id="72"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3"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72" name="image72.png"/>
                      <a:graphic>
                        <a:graphicData uri="http://schemas.openxmlformats.org/drawingml/2006/picture">
                          <pic:pic>
                            <pic:nvPicPr>
                              <pic:cNvPr id="0" name="image72.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8D" w14:textId="77777777">
        <w:trPr>
          <w:trHeight w:val="870"/>
        </w:trPr>
        <w:tc>
          <w:tcPr>
            <w:tcW w:w="7845" w:type="dxa"/>
            <w:tcBorders>
              <w:left w:val="single" w:sz="6" w:space="0" w:color="000000"/>
            </w:tcBorders>
            <w:tcMar>
              <w:top w:w="40" w:type="dxa"/>
              <w:left w:w="40" w:type="dxa"/>
              <w:bottom w:w="40" w:type="dxa"/>
              <w:right w:w="40" w:type="dxa"/>
            </w:tcMar>
          </w:tcPr>
          <w:p w14:paraId="5B77D08B"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evaluate the outcome of simulation-based teaching of Trans Urethral Resection of Prostate (TURP) procedural skills on virtual reality simulator and objectively assessed the operative skills on the Global Rating Scale (GRS). (Soomro et al, 2021)</w:t>
            </w:r>
            <w:r>
              <w:rPr>
                <w:rFonts w:ascii="Calibri" w:eastAsia="Calibri" w:hAnsi="Calibri" w:cs="Calibri"/>
                <w:sz w:val="18"/>
                <w:szCs w:val="18"/>
                <w:vertAlign w:val="superscript"/>
              </w:rPr>
              <w:t>86</w:t>
            </w:r>
          </w:p>
        </w:tc>
        <w:tc>
          <w:tcPr>
            <w:tcW w:w="1245" w:type="dxa"/>
            <w:tcMar>
              <w:top w:w="40" w:type="dxa"/>
              <w:left w:w="40" w:type="dxa"/>
              <w:bottom w:w="40" w:type="dxa"/>
              <w:right w:w="40" w:type="dxa"/>
            </w:tcMar>
          </w:tcPr>
          <w:p w14:paraId="5B77D08C"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85" wp14:editId="5B77D186">
                      <wp:extent cx="309563" cy="282408"/>
                      <wp:effectExtent l="0" t="0" r="0" b="0"/>
                      <wp:docPr id="6"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4"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6"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90" w14:textId="77777777">
        <w:tc>
          <w:tcPr>
            <w:tcW w:w="7845" w:type="dxa"/>
            <w:tcBorders>
              <w:left w:val="single" w:sz="6" w:space="0" w:color="000000"/>
            </w:tcBorders>
            <w:tcMar>
              <w:top w:w="40" w:type="dxa"/>
              <w:left w:w="40" w:type="dxa"/>
              <w:bottom w:w="40" w:type="dxa"/>
              <w:right w:w="40" w:type="dxa"/>
            </w:tcMar>
          </w:tcPr>
          <w:p w14:paraId="5B77D08E"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compare the effectiveness of training of pelvic examination (PE) of medical students on standardized patients (SPs) with the training on regular patients (RPs) during clinical rotations (Sultana et al, 2015)</w:t>
            </w:r>
            <w:r>
              <w:rPr>
                <w:rFonts w:ascii="Calibri" w:eastAsia="Calibri" w:hAnsi="Calibri" w:cs="Calibri"/>
                <w:sz w:val="18"/>
                <w:szCs w:val="18"/>
                <w:vertAlign w:val="superscript"/>
              </w:rPr>
              <w:t>87</w:t>
            </w:r>
          </w:p>
        </w:tc>
        <w:tc>
          <w:tcPr>
            <w:tcW w:w="1245" w:type="dxa"/>
            <w:tcMar>
              <w:top w:w="40" w:type="dxa"/>
              <w:left w:w="40" w:type="dxa"/>
              <w:bottom w:w="40" w:type="dxa"/>
              <w:right w:w="40" w:type="dxa"/>
            </w:tcMar>
          </w:tcPr>
          <w:p w14:paraId="5B77D08F"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87" wp14:editId="5B77D188">
                      <wp:extent cx="309563" cy="282408"/>
                      <wp:effectExtent l="0" t="0" r="0" b="0"/>
                      <wp:docPr id="22"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5"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2" name="image22.png"/>
                      <a:graphic>
                        <a:graphicData uri="http://schemas.openxmlformats.org/drawingml/2006/picture">
                          <pic:pic>
                            <pic:nvPicPr>
                              <pic:cNvPr id="0" name="image22.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93" w14:textId="77777777">
        <w:trPr>
          <w:trHeight w:val="450"/>
        </w:trPr>
        <w:tc>
          <w:tcPr>
            <w:tcW w:w="7845" w:type="dxa"/>
            <w:tcBorders>
              <w:left w:val="single" w:sz="6" w:space="0" w:color="000000"/>
            </w:tcBorders>
            <w:tcMar>
              <w:top w:w="40" w:type="dxa"/>
              <w:left w:w="40" w:type="dxa"/>
              <w:bottom w:w="40" w:type="dxa"/>
              <w:right w:w="40" w:type="dxa"/>
            </w:tcMar>
          </w:tcPr>
          <w:p w14:paraId="5B77D091"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prospectively evaluate the effectiveness of a short-term structured EUS training program in improving the knowledge and skill of Endoscopic Ultrasonography (EUS) among trainees. (Wang et al, 2015)</w:t>
            </w:r>
            <w:r>
              <w:rPr>
                <w:rFonts w:ascii="Calibri" w:eastAsia="Calibri" w:hAnsi="Calibri" w:cs="Calibri"/>
                <w:sz w:val="18"/>
                <w:szCs w:val="18"/>
                <w:vertAlign w:val="superscript"/>
              </w:rPr>
              <w:t>88</w:t>
            </w:r>
          </w:p>
        </w:tc>
        <w:tc>
          <w:tcPr>
            <w:tcW w:w="1245" w:type="dxa"/>
            <w:tcMar>
              <w:top w:w="40" w:type="dxa"/>
              <w:left w:w="40" w:type="dxa"/>
              <w:bottom w:w="40" w:type="dxa"/>
              <w:right w:w="40" w:type="dxa"/>
            </w:tcMar>
          </w:tcPr>
          <w:p w14:paraId="5B77D092"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89" wp14:editId="5B77D18A">
                      <wp:extent cx="309563" cy="282408"/>
                      <wp:effectExtent l="0" t="0" r="0" b="0"/>
                      <wp:docPr id="24"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6"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24" name="image24.png"/>
                      <a:graphic>
                        <a:graphicData uri="http://schemas.openxmlformats.org/drawingml/2006/picture">
                          <pic:pic>
                            <pic:nvPicPr>
                              <pic:cNvPr id="0" name="image24.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96" w14:textId="77777777">
        <w:tc>
          <w:tcPr>
            <w:tcW w:w="7845" w:type="dxa"/>
            <w:tcBorders>
              <w:left w:val="single" w:sz="6" w:space="0" w:color="000000"/>
            </w:tcBorders>
            <w:tcMar>
              <w:top w:w="40" w:type="dxa"/>
              <w:left w:w="40" w:type="dxa"/>
              <w:bottom w:w="40" w:type="dxa"/>
              <w:right w:w="40" w:type="dxa"/>
            </w:tcMar>
          </w:tcPr>
          <w:p w14:paraId="5B77D094"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investigate whether the type of simulation-based learning (learning by doing versus vicarious learning) and the order in which these activities are carried out (learning by doing → vicarious learning versus vicarious learning → learning by doing) have a</w:t>
            </w:r>
            <w:r>
              <w:rPr>
                <w:rFonts w:ascii="Calibri" w:eastAsia="Calibri" w:hAnsi="Calibri" w:cs="Calibri"/>
                <w:sz w:val="18"/>
                <w:szCs w:val="18"/>
              </w:rPr>
              <w:t>ny effect on the acquisition of knowledge on effective doctor–patient communication strategies. (Waqar et al, 2014)</w:t>
            </w:r>
            <w:r>
              <w:rPr>
                <w:rFonts w:ascii="Calibri" w:eastAsia="Calibri" w:hAnsi="Calibri" w:cs="Calibri"/>
                <w:sz w:val="18"/>
                <w:szCs w:val="18"/>
                <w:vertAlign w:val="superscript"/>
              </w:rPr>
              <w:t>89</w:t>
            </w:r>
          </w:p>
        </w:tc>
        <w:tc>
          <w:tcPr>
            <w:tcW w:w="1245" w:type="dxa"/>
            <w:tcMar>
              <w:top w:w="40" w:type="dxa"/>
              <w:left w:w="40" w:type="dxa"/>
              <w:bottom w:w="40" w:type="dxa"/>
              <w:right w:w="40" w:type="dxa"/>
            </w:tcMar>
          </w:tcPr>
          <w:p w14:paraId="5B77D095"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8B" wp14:editId="5B77D18C">
                      <wp:extent cx="309563" cy="282408"/>
                      <wp:effectExtent l="0" t="0" r="0" b="0"/>
                      <wp:docPr id="16"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7"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16" name="image16.png"/>
                      <a:graphic>
                        <a:graphicData uri="http://schemas.openxmlformats.org/drawingml/2006/picture">
                          <pic:pic>
                            <pic:nvPicPr>
                              <pic:cNvPr id="0" name="image16.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99" w14:textId="77777777">
        <w:tc>
          <w:tcPr>
            <w:tcW w:w="7845" w:type="dxa"/>
            <w:tcBorders>
              <w:left w:val="single" w:sz="6" w:space="0" w:color="000000"/>
            </w:tcBorders>
            <w:tcMar>
              <w:top w:w="40" w:type="dxa"/>
              <w:left w:w="40" w:type="dxa"/>
              <w:bottom w:w="40" w:type="dxa"/>
              <w:right w:w="40" w:type="dxa"/>
            </w:tcMar>
          </w:tcPr>
          <w:p w14:paraId="5B77D097"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investigate the inter-rater reliability of scores between OBGYN faculty, non-OBGYN faculty and SPs for assessment of communication and counselling skills during OSCE in OBGYN and to determine the reliability of scores using OBGYN faculty, non-OBGYN facu</w:t>
            </w:r>
            <w:r>
              <w:rPr>
                <w:rFonts w:ascii="Calibri" w:eastAsia="Calibri" w:hAnsi="Calibri" w:cs="Calibri"/>
                <w:sz w:val="18"/>
                <w:szCs w:val="18"/>
              </w:rPr>
              <w:t>lty and SP as assessors for assessment of communication and counselling skills during OSCE in OBGYN. (Yousuf et al, 2019)</w:t>
            </w:r>
            <w:r>
              <w:rPr>
                <w:rFonts w:ascii="Calibri" w:eastAsia="Calibri" w:hAnsi="Calibri" w:cs="Calibri"/>
                <w:sz w:val="18"/>
                <w:szCs w:val="18"/>
                <w:vertAlign w:val="superscript"/>
              </w:rPr>
              <w:t>90</w:t>
            </w:r>
          </w:p>
        </w:tc>
        <w:tc>
          <w:tcPr>
            <w:tcW w:w="1245" w:type="dxa"/>
            <w:tcMar>
              <w:top w:w="40" w:type="dxa"/>
              <w:left w:w="40" w:type="dxa"/>
              <w:bottom w:w="40" w:type="dxa"/>
              <w:right w:w="40" w:type="dxa"/>
            </w:tcMar>
          </w:tcPr>
          <w:p w14:paraId="5B77D098"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8D" wp14:editId="5B77D18E">
                      <wp:extent cx="309563" cy="282408"/>
                      <wp:effectExtent l="0" t="0" r="0" b="0"/>
                      <wp:docPr id="42"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5B77D1D8"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282408"/>
                      <wp:effectExtent b="0" l="0" r="0" t="0"/>
                      <wp:docPr id="42" name="image42.png"/>
                      <a:graphic>
                        <a:graphicData uri="http://schemas.openxmlformats.org/drawingml/2006/picture">
                          <pic:pic>
                            <pic:nvPicPr>
                              <pic:cNvPr id="0" name="image42.png"/>
                              <pic:cNvPicPr preferRelativeResize="0"/>
                            </pic:nvPicPr>
                            <pic:blipFill>
                              <a:blip r:embed="rId12"/>
                              <a:srcRect/>
                              <a:stretch>
                                <a:fillRect/>
                              </a:stretch>
                            </pic:blipFill>
                            <pic:spPr>
                              <a:xfrm>
                                <a:off x="0" y="0"/>
                                <a:ext cx="309563" cy="282408"/>
                              </a:xfrm>
                              <a:prstGeom prst="rect"/>
                              <a:ln/>
                            </pic:spPr>
                          </pic:pic>
                        </a:graphicData>
                      </a:graphic>
                    </wp:inline>
                  </w:drawing>
                </mc:Fallback>
              </mc:AlternateContent>
            </w:r>
          </w:p>
        </w:tc>
      </w:tr>
      <w:tr w:rsidR="00F57F64" w14:paraId="5B77D09C" w14:textId="77777777">
        <w:trPr>
          <w:trHeight w:val="495"/>
        </w:trPr>
        <w:tc>
          <w:tcPr>
            <w:tcW w:w="7845" w:type="dxa"/>
            <w:tcBorders>
              <w:left w:val="single" w:sz="6" w:space="0" w:color="000000"/>
            </w:tcBorders>
            <w:tcMar>
              <w:top w:w="40" w:type="dxa"/>
              <w:left w:w="40" w:type="dxa"/>
              <w:bottom w:w="40" w:type="dxa"/>
              <w:right w:w="40" w:type="dxa"/>
            </w:tcMar>
          </w:tcPr>
          <w:p w14:paraId="5B77D09A" w14:textId="77777777" w:rsidR="00F57F64" w:rsidRDefault="003E36D7">
            <w:pPr>
              <w:widowControl w:val="0"/>
              <w:rPr>
                <w:rFonts w:ascii="Calibri" w:eastAsia="Calibri" w:hAnsi="Calibri" w:cs="Calibri"/>
                <w:sz w:val="18"/>
                <w:szCs w:val="18"/>
                <w:vertAlign w:val="superscript"/>
              </w:rPr>
            </w:pPr>
            <w:r>
              <w:rPr>
                <w:rFonts w:ascii="Calibri" w:eastAsia="Calibri" w:hAnsi="Calibri" w:cs="Calibri"/>
                <w:sz w:val="18"/>
                <w:szCs w:val="18"/>
              </w:rPr>
              <w:t>To describe a case of juvenile nasopharyngeal angiofibroma utilizing a patient-specific 3D model for pre- and intra-operative planning. (Zahid et al, 2024)</w:t>
            </w:r>
            <w:r>
              <w:rPr>
                <w:rFonts w:ascii="Calibri" w:eastAsia="Calibri" w:hAnsi="Calibri" w:cs="Calibri"/>
                <w:sz w:val="18"/>
                <w:szCs w:val="18"/>
                <w:vertAlign w:val="superscript"/>
              </w:rPr>
              <w:t>91</w:t>
            </w:r>
          </w:p>
        </w:tc>
        <w:tc>
          <w:tcPr>
            <w:tcW w:w="1245" w:type="dxa"/>
            <w:tcMar>
              <w:top w:w="40" w:type="dxa"/>
              <w:left w:w="40" w:type="dxa"/>
              <w:bottom w:w="40" w:type="dxa"/>
              <w:right w:w="40" w:type="dxa"/>
            </w:tcMar>
          </w:tcPr>
          <w:p w14:paraId="5B77D09B" w14:textId="77777777" w:rsidR="00F57F64" w:rsidRDefault="003E36D7">
            <w:pPr>
              <w:widowControl w:val="0"/>
              <w:jc w:val="center"/>
              <w:rPr>
                <w:rFonts w:ascii="Calibri" w:eastAsia="Calibri" w:hAnsi="Calibri" w:cs="Calibri"/>
                <w:sz w:val="18"/>
                <w:szCs w:val="18"/>
              </w:rPr>
            </w:pPr>
            <w:r>
              <w:rPr>
                <w:rFonts w:ascii="Calibri" w:eastAsia="Calibri" w:hAnsi="Calibri" w:cs="Calibri"/>
                <w:noProof/>
                <w:sz w:val="18"/>
                <w:szCs w:val="18"/>
                <w:lang w:val="en-US"/>
              </w:rPr>
              <mc:AlternateContent>
                <mc:Choice Requires="wpg">
                  <w:drawing>
                    <wp:inline distT="114300" distB="114300" distL="114300" distR="114300" wp14:anchorId="5B77D18F" wp14:editId="5B77D190">
                      <wp:extent cx="309563" cy="313892"/>
                      <wp:effectExtent l="0" t="0" r="0" b="0"/>
                      <wp:docPr id="54" name=""/>
                      <wp:cNvGraphicFramePr/>
                      <a:graphic xmlns:a="http://schemas.openxmlformats.org/drawingml/2006/main">
                        <a:graphicData uri="http://schemas.microsoft.com/office/word/2010/wordprocessingShape">
                          <wps:wsp>
                            <wps:cNvSpPr/>
                            <wps:spPr>
                              <a:xfrm>
                                <a:off x="2810700" y="1222725"/>
                                <a:ext cx="1339800" cy="1359600"/>
                              </a:xfrm>
                              <a:prstGeom prst="ellipse">
                                <a:avLst/>
                              </a:prstGeom>
                              <a:solidFill>
                                <a:srgbClr val="00FF00"/>
                              </a:solidFill>
                              <a:ln w="9525" cap="flat" cmpd="sng">
                                <a:solidFill>
                                  <a:srgbClr val="000000"/>
                                </a:solidFill>
                                <a:prstDash val="solid"/>
                                <a:round/>
                                <a:headEnd type="none" w="sm" len="sm"/>
                                <a:tailEnd type="none" w="sm" len="sm"/>
                              </a:ln>
                            </wps:spPr>
                            <wps:txbx>
                              <w:txbxContent>
                                <w:p w14:paraId="5B77D1D9" w14:textId="77777777" w:rsidR="00F57F64" w:rsidRDefault="00F57F64">
                                  <w:pPr>
                                    <w:spacing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309563" cy="313892"/>
                      <wp:effectExtent b="0" l="0" r="0" t="0"/>
                      <wp:docPr id="54" name="image54.png"/>
                      <a:graphic>
                        <a:graphicData uri="http://schemas.openxmlformats.org/drawingml/2006/picture">
                          <pic:pic>
                            <pic:nvPicPr>
                              <pic:cNvPr id="0" name="image54.png"/>
                              <pic:cNvPicPr preferRelativeResize="0"/>
                            </pic:nvPicPr>
                            <pic:blipFill>
                              <a:blip r:embed="rId12"/>
                              <a:srcRect/>
                              <a:stretch>
                                <a:fillRect/>
                              </a:stretch>
                            </pic:blipFill>
                            <pic:spPr>
                              <a:xfrm>
                                <a:off x="0" y="0"/>
                                <a:ext cx="309563" cy="313892"/>
                              </a:xfrm>
                              <a:prstGeom prst="rect"/>
                              <a:ln/>
                            </pic:spPr>
                          </pic:pic>
                        </a:graphicData>
                      </a:graphic>
                    </wp:inline>
                  </w:drawing>
                </mc:Fallback>
              </mc:AlternateContent>
            </w:r>
          </w:p>
        </w:tc>
      </w:tr>
      <w:tr w:rsidR="00F57F64" w14:paraId="5B77D09F" w14:textId="77777777">
        <w:trPr>
          <w:trHeight w:val="285"/>
        </w:trPr>
        <w:tc>
          <w:tcPr>
            <w:tcW w:w="9090" w:type="dxa"/>
            <w:gridSpan w:val="2"/>
            <w:tcBorders>
              <w:left w:val="single" w:sz="6" w:space="0" w:color="000000"/>
            </w:tcBorders>
            <w:tcMar>
              <w:top w:w="40" w:type="dxa"/>
              <w:left w:w="40" w:type="dxa"/>
              <w:bottom w:w="40" w:type="dxa"/>
              <w:right w:w="40" w:type="dxa"/>
            </w:tcMar>
          </w:tcPr>
          <w:p w14:paraId="5B77D09D" w14:textId="77777777" w:rsidR="00F57F64" w:rsidRDefault="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sz w:val="18"/>
                <w:szCs w:val="18"/>
              </w:rPr>
            </w:pPr>
            <w:r>
              <w:rPr>
                <w:rFonts w:ascii="Calibri" w:eastAsia="Calibri" w:hAnsi="Calibri" w:cs="Calibri"/>
                <w:b/>
                <w:bCs/>
                <w:sz w:val="18"/>
                <w:szCs w:val="18"/>
              </w:rPr>
              <w:t>Note:</w:t>
            </w:r>
            <w:r>
              <w:rPr>
                <w:rFonts w:ascii="Calibri" w:eastAsia="Calibri" w:hAnsi="Calibri" w:cs="Calibri"/>
                <w:sz w:val="18"/>
                <w:szCs w:val="18"/>
              </w:rPr>
              <w:t xml:space="preserve"> This scoring has been developed approximately according to JBI and NIH tools based on study designs. Additionally, authors mutually discussed and used a particular tool, where the design was not mentioned, based on the methodology and outcomes.</w:t>
            </w:r>
          </w:p>
          <w:p w14:paraId="5B77D09E" w14:textId="77777777" w:rsidR="00F57F64" w:rsidRDefault="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sz w:val="18"/>
                <w:szCs w:val="18"/>
              </w:rPr>
            </w:pPr>
            <w:r>
              <w:rPr>
                <w:rFonts w:ascii="Calibri" w:eastAsia="Calibri" w:hAnsi="Calibri" w:cs="Calibri"/>
                <w:sz w:val="18"/>
                <w:szCs w:val="18"/>
              </w:rPr>
              <w:t>Key: Red =</w:t>
            </w:r>
            <w:r>
              <w:rPr>
                <w:rFonts w:ascii="Calibri" w:eastAsia="Calibri" w:hAnsi="Calibri" w:cs="Calibri"/>
                <w:sz w:val="18"/>
                <w:szCs w:val="18"/>
              </w:rPr>
              <w:t xml:space="preserve"> High ROB, Orange = Moderate ROB, Green = Low ROB</w:t>
            </w:r>
          </w:p>
        </w:tc>
      </w:tr>
    </w:tbl>
    <w:p w14:paraId="5B77D0A0" w14:textId="4EC81277" w:rsidR="00F57F64" w:rsidRDefault="00F57F64">
      <w:pPr>
        <w:rPr>
          <w:rFonts w:ascii="Calibri" w:eastAsia="Calibri" w:hAnsi="Calibri" w:cs="Calibri"/>
          <w:color w:val="1155CC"/>
          <w:sz w:val="24"/>
          <w:szCs w:val="24"/>
        </w:rPr>
      </w:pPr>
      <w:bookmarkStart w:id="18" w:name="_GoBack"/>
      <w:bookmarkEnd w:id="18"/>
    </w:p>
    <w:p w14:paraId="5B77D0A1"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2"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3"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4"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5"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6"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7"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8"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9"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A"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B"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AC"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C4" w14:textId="5EAEF693"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7936483B" w14:textId="77777777" w:rsidR="003E36D7" w:rsidRDefault="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C5"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1155CC"/>
          <w:sz w:val="24"/>
          <w:szCs w:val="24"/>
        </w:rPr>
      </w:pPr>
    </w:p>
    <w:p w14:paraId="5B77D0C6" w14:textId="77777777" w:rsidR="00F57F64" w:rsidRDefault="003E36D7">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FF0000"/>
          <w:sz w:val="24"/>
          <w:szCs w:val="24"/>
        </w:rPr>
      </w:pPr>
      <w:bookmarkStart w:id="19" w:name="_rhg0fr96ceff" w:colFirst="0" w:colLast="0"/>
      <w:bookmarkEnd w:id="19"/>
      <w:r>
        <w:rPr>
          <w:rFonts w:ascii="Calibri" w:eastAsia="Calibri" w:hAnsi="Calibri" w:cs="Calibri"/>
          <w:b/>
          <w:bCs/>
          <w:sz w:val="24"/>
          <w:szCs w:val="24"/>
        </w:rPr>
        <w:t>Appendix D: Summary of study distribution into Kirkpatrick levels based on foci</w:t>
      </w:r>
      <w:r>
        <w:rPr>
          <w:rFonts w:ascii="Calibri" w:eastAsia="Calibri" w:hAnsi="Calibri" w:cs="Calibri"/>
          <w:color w:val="FF0000"/>
          <w:sz w:val="24"/>
          <w:szCs w:val="24"/>
        </w:rPr>
        <w:t xml:space="preserve"> </w:t>
      </w:r>
    </w:p>
    <w:p w14:paraId="5B77D0C7" w14:textId="77777777" w:rsidR="00F57F64" w:rsidRDefault="00F57F64">
      <w:pPr>
        <w:pBdr>
          <w:top w:val="none" w:sz="0" w:space="0" w:color="E5E7EB"/>
          <w:left w:val="none" w:sz="0" w:space="0" w:color="E5E7EB"/>
          <w:bottom w:val="none" w:sz="0" w:space="0" w:color="E5E7EB"/>
          <w:right w:val="none" w:sz="0" w:space="0" w:color="E5E7EB"/>
          <w:between w:val="none" w:sz="0" w:space="0" w:color="E5E7EB"/>
        </w:pBdr>
        <w:rPr>
          <w:rFonts w:ascii="Calibri" w:eastAsia="Calibri" w:hAnsi="Calibri" w:cs="Calibri"/>
          <w:color w:val="FF0000"/>
          <w:sz w:val="28"/>
          <w:szCs w:val="28"/>
        </w:rPr>
      </w:pPr>
      <w:bookmarkStart w:id="20" w:name="_40j8gdeqbwsl" w:colFirst="0" w:colLast="0"/>
      <w:bookmarkEnd w:id="20"/>
    </w:p>
    <w:tbl>
      <w:tblPr>
        <w:tblStyle w:val="a1"/>
        <w:tblpPr w:leftFromText="180" w:rightFromText="180" w:topFromText="180" w:bottomFromText="180" w:vertAnchor="text"/>
        <w:tblW w:w="93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8"/>
        <w:gridCol w:w="6572"/>
      </w:tblGrid>
      <w:tr w:rsidR="00F57F64" w14:paraId="5B77D0CA" w14:textId="77777777">
        <w:trPr>
          <w:trHeight w:val="240"/>
        </w:trPr>
        <w:tc>
          <w:tcPr>
            <w:tcW w:w="2768" w:type="dxa"/>
          </w:tcPr>
          <w:p w14:paraId="5B77D0C8" w14:textId="77777777" w:rsidR="00F57F64" w:rsidRDefault="003E36D7">
            <w:pPr>
              <w:widowControl w:val="0"/>
              <w:rPr>
                <w:rFonts w:ascii="Calibri" w:eastAsia="Calibri" w:hAnsi="Calibri" w:cs="Calibri"/>
                <w:b/>
                <w:bCs/>
                <w:sz w:val="24"/>
                <w:szCs w:val="24"/>
              </w:rPr>
            </w:pPr>
            <w:r>
              <w:rPr>
                <w:rFonts w:ascii="Calibri" w:eastAsia="Calibri" w:hAnsi="Calibri" w:cs="Calibri"/>
                <w:b/>
                <w:bCs/>
                <w:sz w:val="24"/>
                <w:szCs w:val="24"/>
              </w:rPr>
              <w:lastRenderedPageBreak/>
              <w:t>Outcomes as per KP level</w:t>
            </w:r>
          </w:p>
        </w:tc>
        <w:tc>
          <w:tcPr>
            <w:tcW w:w="6572" w:type="dxa"/>
          </w:tcPr>
          <w:p w14:paraId="5B77D0C9" w14:textId="77777777" w:rsidR="00F57F64" w:rsidRDefault="003E36D7">
            <w:pPr>
              <w:widowControl w:val="0"/>
              <w:rPr>
                <w:rFonts w:ascii="Calibri" w:eastAsia="Calibri" w:hAnsi="Calibri" w:cs="Calibri"/>
                <w:b/>
                <w:bCs/>
                <w:sz w:val="24"/>
                <w:szCs w:val="24"/>
              </w:rPr>
            </w:pPr>
            <w:r>
              <w:rPr>
                <w:rFonts w:ascii="Calibri" w:eastAsia="Calibri" w:hAnsi="Calibri" w:cs="Calibri"/>
                <w:b/>
                <w:bCs/>
                <w:sz w:val="24"/>
                <w:szCs w:val="24"/>
              </w:rPr>
              <w:t>Studies per Foci</w:t>
            </w:r>
          </w:p>
        </w:tc>
      </w:tr>
      <w:tr w:rsidR="00F57F64" w14:paraId="5B77D0CD" w14:textId="77777777">
        <w:trPr>
          <w:trHeight w:val="141"/>
        </w:trPr>
        <w:tc>
          <w:tcPr>
            <w:tcW w:w="2768" w:type="dxa"/>
            <w:vMerge w:val="restart"/>
          </w:tcPr>
          <w:p w14:paraId="5B77D0CB"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 xml:space="preserve">KP level 1 (20) </w:t>
            </w:r>
          </w:p>
        </w:tc>
        <w:tc>
          <w:tcPr>
            <w:tcW w:w="6572" w:type="dxa"/>
          </w:tcPr>
          <w:p w14:paraId="5B77D0CC"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1) Simulation as a commodity: 47, 51, 56, 64, 71, 72, 75, 76</w:t>
            </w:r>
          </w:p>
        </w:tc>
      </w:tr>
      <w:tr w:rsidR="00F57F64" w14:paraId="5B77D0D0" w14:textId="77777777">
        <w:trPr>
          <w:trHeight w:val="186"/>
        </w:trPr>
        <w:tc>
          <w:tcPr>
            <w:tcW w:w="2768" w:type="dxa"/>
            <w:vMerge/>
          </w:tcPr>
          <w:p w14:paraId="5B77D0CE" w14:textId="77777777" w:rsidR="00F57F64" w:rsidRDefault="00F57F64">
            <w:pPr>
              <w:widowControl w:val="0"/>
              <w:rPr>
                <w:rFonts w:ascii="Calibri" w:eastAsia="Calibri" w:hAnsi="Calibri" w:cs="Calibri"/>
                <w:sz w:val="24"/>
                <w:szCs w:val="24"/>
              </w:rPr>
            </w:pPr>
          </w:p>
        </w:tc>
        <w:tc>
          <w:tcPr>
            <w:tcW w:w="6572" w:type="dxa"/>
          </w:tcPr>
          <w:p w14:paraId="5B77D0CF"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2) Simulation as an instructional method: 39, 63</w:t>
            </w:r>
          </w:p>
        </w:tc>
      </w:tr>
      <w:tr w:rsidR="00F57F64" w14:paraId="5B77D0D3" w14:textId="77777777">
        <w:trPr>
          <w:trHeight w:val="240"/>
        </w:trPr>
        <w:tc>
          <w:tcPr>
            <w:tcW w:w="2768" w:type="dxa"/>
            <w:vMerge/>
          </w:tcPr>
          <w:p w14:paraId="5B77D0D1" w14:textId="77777777" w:rsidR="00F57F64" w:rsidRDefault="00F57F64">
            <w:pPr>
              <w:widowControl w:val="0"/>
              <w:rPr>
                <w:rFonts w:ascii="Calibri" w:eastAsia="Calibri" w:hAnsi="Calibri" w:cs="Calibri"/>
                <w:sz w:val="24"/>
                <w:szCs w:val="24"/>
              </w:rPr>
            </w:pPr>
          </w:p>
        </w:tc>
        <w:tc>
          <w:tcPr>
            <w:tcW w:w="6572" w:type="dxa"/>
          </w:tcPr>
          <w:p w14:paraId="5B77D0D2"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3) Simulation for professional development:  60, 81</w:t>
            </w:r>
          </w:p>
        </w:tc>
      </w:tr>
      <w:tr w:rsidR="00F57F64" w14:paraId="5B77D0D6" w14:textId="77777777">
        <w:trPr>
          <w:trHeight w:val="285"/>
        </w:trPr>
        <w:tc>
          <w:tcPr>
            <w:tcW w:w="2768" w:type="dxa"/>
            <w:vMerge/>
          </w:tcPr>
          <w:p w14:paraId="5B77D0D4" w14:textId="77777777" w:rsidR="00F57F64" w:rsidRDefault="00F57F64">
            <w:pPr>
              <w:widowControl w:val="0"/>
              <w:rPr>
                <w:rFonts w:ascii="Calibri" w:eastAsia="Calibri" w:hAnsi="Calibri" w:cs="Calibri"/>
                <w:sz w:val="24"/>
                <w:szCs w:val="24"/>
              </w:rPr>
            </w:pPr>
          </w:p>
        </w:tc>
        <w:tc>
          <w:tcPr>
            <w:tcW w:w="6572" w:type="dxa"/>
          </w:tcPr>
          <w:p w14:paraId="5B77D0D5"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4) Simulation for teaching content to medical students : 23, 42, 62, 67, 77</w:t>
            </w:r>
          </w:p>
        </w:tc>
      </w:tr>
      <w:tr w:rsidR="00F57F64" w14:paraId="5B77D0D9" w14:textId="77777777">
        <w:trPr>
          <w:trHeight w:val="231"/>
        </w:trPr>
        <w:tc>
          <w:tcPr>
            <w:tcW w:w="2768" w:type="dxa"/>
            <w:vMerge/>
          </w:tcPr>
          <w:p w14:paraId="5B77D0D7" w14:textId="77777777" w:rsidR="00F57F64" w:rsidRDefault="00F57F64">
            <w:pPr>
              <w:widowControl w:val="0"/>
              <w:rPr>
                <w:rFonts w:ascii="Calibri" w:eastAsia="Calibri" w:hAnsi="Calibri" w:cs="Calibri"/>
                <w:sz w:val="24"/>
                <w:szCs w:val="24"/>
              </w:rPr>
            </w:pPr>
          </w:p>
        </w:tc>
        <w:tc>
          <w:tcPr>
            <w:tcW w:w="6572" w:type="dxa"/>
          </w:tcPr>
          <w:p w14:paraId="5B77D0D8"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5) Simulation as a learning tool: 29, 34, 48</w:t>
            </w:r>
          </w:p>
        </w:tc>
      </w:tr>
      <w:tr w:rsidR="00F57F64" w14:paraId="5B77D0DC" w14:textId="77777777">
        <w:trPr>
          <w:trHeight w:val="177"/>
        </w:trPr>
        <w:tc>
          <w:tcPr>
            <w:tcW w:w="2768" w:type="dxa"/>
            <w:vMerge w:val="restart"/>
          </w:tcPr>
          <w:p w14:paraId="5B77D0DA"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 xml:space="preserve">KP level 2 (43) </w:t>
            </w:r>
          </w:p>
        </w:tc>
        <w:tc>
          <w:tcPr>
            <w:tcW w:w="6572" w:type="dxa"/>
          </w:tcPr>
          <w:p w14:paraId="5B77D0DB"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1) Simulation as a commodity : 17, 24, 37, 38, 40, 54, 66, 68, 69, 78, 83</w:t>
            </w:r>
          </w:p>
        </w:tc>
      </w:tr>
      <w:tr w:rsidR="00F57F64" w14:paraId="5B77D0DF" w14:textId="77777777">
        <w:trPr>
          <w:trHeight w:val="141"/>
        </w:trPr>
        <w:tc>
          <w:tcPr>
            <w:tcW w:w="2768" w:type="dxa"/>
            <w:vMerge/>
          </w:tcPr>
          <w:p w14:paraId="5B77D0DD" w14:textId="77777777" w:rsidR="00F57F64" w:rsidRDefault="00F57F64">
            <w:pPr>
              <w:widowControl w:val="0"/>
              <w:rPr>
                <w:rFonts w:ascii="Calibri" w:eastAsia="Calibri" w:hAnsi="Calibri" w:cs="Calibri"/>
                <w:sz w:val="24"/>
                <w:szCs w:val="24"/>
              </w:rPr>
            </w:pPr>
          </w:p>
        </w:tc>
        <w:tc>
          <w:tcPr>
            <w:tcW w:w="6572" w:type="dxa"/>
          </w:tcPr>
          <w:p w14:paraId="5B77D0DE"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2) Simulation as an instructional method: 18, 39, 87, 88</w:t>
            </w:r>
          </w:p>
        </w:tc>
      </w:tr>
      <w:tr w:rsidR="00F57F64" w14:paraId="5B77D0E2" w14:textId="77777777">
        <w:trPr>
          <w:trHeight w:val="276"/>
        </w:trPr>
        <w:tc>
          <w:tcPr>
            <w:tcW w:w="2768" w:type="dxa"/>
            <w:vMerge/>
          </w:tcPr>
          <w:p w14:paraId="5B77D0E0" w14:textId="77777777" w:rsidR="00F57F64" w:rsidRDefault="00F57F64">
            <w:pPr>
              <w:widowControl w:val="0"/>
              <w:rPr>
                <w:rFonts w:ascii="Calibri" w:eastAsia="Calibri" w:hAnsi="Calibri" w:cs="Calibri"/>
                <w:sz w:val="24"/>
                <w:szCs w:val="24"/>
              </w:rPr>
            </w:pPr>
          </w:p>
        </w:tc>
        <w:tc>
          <w:tcPr>
            <w:tcW w:w="6572" w:type="dxa"/>
          </w:tcPr>
          <w:p w14:paraId="5B77D0E1"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3) Simulation for professional development: 19, 26, 32, 35, 60, 80, 81, 84</w:t>
            </w:r>
          </w:p>
        </w:tc>
      </w:tr>
      <w:tr w:rsidR="00F57F64" w14:paraId="5B77D0E5" w14:textId="77777777">
        <w:trPr>
          <w:trHeight w:val="440"/>
        </w:trPr>
        <w:tc>
          <w:tcPr>
            <w:tcW w:w="2768" w:type="dxa"/>
            <w:vMerge/>
          </w:tcPr>
          <w:p w14:paraId="5B77D0E3" w14:textId="77777777" w:rsidR="00F57F64" w:rsidRDefault="00F57F64">
            <w:pPr>
              <w:widowControl w:val="0"/>
              <w:rPr>
                <w:rFonts w:ascii="Calibri" w:eastAsia="Calibri" w:hAnsi="Calibri" w:cs="Calibri"/>
                <w:sz w:val="24"/>
                <w:szCs w:val="24"/>
              </w:rPr>
            </w:pPr>
          </w:p>
        </w:tc>
        <w:tc>
          <w:tcPr>
            <w:tcW w:w="6572" w:type="dxa"/>
          </w:tcPr>
          <w:p w14:paraId="5B77D0E4"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4) Simulation for teaching content to medical students : 23, 28, 61, 62, 65, 74, 77, 79, 82</w:t>
            </w:r>
          </w:p>
        </w:tc>
      </w:tr>
      <w:tr w:rsidR="00F57F64" w14:paraId="5B77D0E8" w14:textId="77777777">
        <w:trPr>
          <w:trHeight w:val="285"/>
        </w:trPr>
        <w:tc>
          <w:tcPr>
            <w:tcW w:w="2768" w:type="dxa"/>
            <w:vMerge/>
          </w:tcPr>
          <w:p w14:paraId="5B77D0E6" w14:textId="77777777" w:rsidR="00F57F64" w:rsidRDefault="00F57F64">
            <w:pPr>
              <w:widowControl w:val="0"/>
              <w:rPr>
                <w:rFonts w:ascii="Calibri" w:eastAsia="Calibri" w:hAnsi="Calibri" w:cs="Calibri"/>
                <w:sz w:val="24"/>
                <w:szCs w:val="24"/>
              </w:rPr>
            </w:pPr>
          </w:p>
        </w:tc>
        <w:tc>
          <w:tcPr>
            <w:tcW w:w="6572" w:type="dxa"/>
          </w:tcPr>
          <w:p w14:paraId="5B77D0E7"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5) Simulation as a learning tool: 29, 34, 45</w:t>
            </w:r>
          </w:p>
        </w:tc>
      </w:tr>
      <w:tr w:rsidR="00F57F64" w14:paraId="5B77D0EB" w14:textId="77777777">
        <w:trPr>
          <w:trHeight w:val="321"/>
        </w:trPr>
        <w:tc>
          <w:tcPr>
            <w:tcW w:w="2768" w:type="dxa"/>
            <w:vMerge w:val="restart"/>
          </w:tcPr>
          <w:p w14:paraId="5B77D0E9"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 xml:space="preserve">KP level 3 (6) </w:t>
            </w:r>
          </w:p>
        </w:tc>
        <w:tc>
          <w:tcPr>
            <w:tcW w:w="6572" w:type="dxa"/>
          </w:tcPr>
          <w:p w14:paraId="5B77D0EA"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1) Simulation as a commodity: 25</w:t>
            </w:r>
          </w:p>
        </w:tc>
      </w:tr>
      <w:tr w:rsidR="00F57F64" w14:paraId="5B77D0EE" w14:textId="77777777">
        <w:trPr>
          <w:trHeight w:val="231"/>
        </w:trPr>
        <w:tc>
          <w:tcPr>
            <w:tcW w:w="2768" w:type="dxa"/>
            <w:vMerge/>
          </w:tcPr>
          <w:p w14:paraId="5B77D0EC" w14:textId="77777777" w:rsidR="00F57F64" w:rsidRDefault="00F57F64">
            <w:pPr>
              <w:widowControl w:val="0"/>
              <w:rPr>
                <w:rFonts w:ascii="Calibri" w:eastAsia="Calibri" w:hAnsi="Calibri" w:cs="Calibri"/>
                <w:sz w:val="24"/>
                <w:szCs w:val="24"/>
              </w:rPr>
            </w:pPr>
          </w:p>
        </w:tc>
        <w:tc>
          <w:tcPr>
            <w:tcW w:w="6572" w:type="dxa"/>
          </w:tcPr>
          <w:p w14:paraId="5B77D0ED"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2) Simulation as an instructional method: 22, 55</w:t>
            </w:r>
          </w:p>
        </w:tc>
      </w:tr>
      <w:tr w:rsidR="00F57F64" w14:paraId="5B77D0F1" w14:textId="77777777">
        <w:trPr>
          <w:trHeight w:val="276"/>
        </w:trPr>
        <w:tc>
          <w:tcPr>
            <w:tcW w:w="2768" w:type="dxa"/>
            <w:vMerge/>
          </w:tcPr>
          <w:p w14:paraId="5B77D0EF" w14:textId="77777777" w:rsidR="00F57F64" w:rsidRDefault="00F57F64">
            <w:pPr>
              <w:widowControl w:val="0"/>
              <w:rPr>
                <w:rFonts w:ascii="Calibri" w:eastAsia="Calibri" w:hAnsi="Calibri" w:cs="Calibri"/>
                <w:sz w:val="24"/>
                <w:szCs w:val="24"/>
              </w:rPr>
            </w:pPr>
          </w:p>
        </w:tc>
        <w:tc>
          <w:tcPr>
            <w:tcW w:w="6572" w:type="dxa"/>
          </w:tcPr>
          <w:p w14:paraId="5B77D0F0"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3) Simulation for professional development: 46, 58</w:t>
            </w:r>
          </w:p>
        </w:tc>
      </w:tr>
      <w:tr w:rsidR="00F57F64" w14:paraId="5B77D0F4" w14:textId="77777777">
        <w:trPr>
          <w:trHeight w:val="132"/>
        </w:trPr>
        <w:tc>
          <w:tcPr>
            <w:tcW w:w="2768" w:type="dxa"/>
            <w:vMerge/>
          </w:tcPr>
          <w:p w14:paraId="5B77D0F2" w14:textId="77777777" w:rsidR="00F57F64" w:rsidRDefault="00F57F64">
            <w:pPr>
              <w:widowControl w:val="0"/>
              <w:rPr>
                <w:rFonts w:ascii="Calibri" w:eastAsia="Calibri" w:hAnsi="Calibri" w:cs="Calibri"/>
                <w:sz w:val="24"/>
                <w:szCs w:val="24"/>
              </w:rPr>
            </w:pPr>
          </w:p>
        </w:tc>
        <w:tc>
          <w:tcPr>
            <w:tcW w:w="6572" w:type="dxa"/>
          </w:tcPr>
          <w:p w14:paraId="5B77D0F3"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4) Simulation for teaching content to medical students : 50</w:t>
            </w:r>
          </w:p>
        </w:tc>
      </w:tr>
      <w:tr w:rsidR="00F57F64" w14:paraId="5B77D0F7" w14:textId="77777777">
        <w:trPr>
          <w:trHeight w:val="23"/>
        </w:trPr>
        <w:tc>
          <w:tcPr>
            <w:tcW w:w="2768" w:type="dxa"/>
          </w:tcPr>
          <w:p w14:paraId="5B77D0F5"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KP level 4 (0)</w:t>
            </w:r>
          </w:p>
        </w:tc>
        <w:tc>
          <w:tcPr>
            <w:tcW w:w="6572" w:type="dxa"/>
          </w:tcPr>
          <w:p w14:paraId="5B77D0F6"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0</w:t>
            </w:r>
          </w:p>
        </w:tc>
      </w:tr>
      <w:tr w:rsidR="00F57F64" w14:paraId="5B77D0FA" w14:textId="77777777">
        <w:trPr>
          <w:trHeight w:val="69"/>
        </w:trPr>
        <w:tc>
          <w:tcPr>
            <w:tcW w:w="2768" w:type="dxa"/>
            <w:vMerge w:val="restart"/>
          </w:tcPr>
          <w:p w14:paraId="5B77D0F8"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No outcome reported (4)</w:t>
            </w:r>
          </w:p>
        </w:tc>
        <w:tc>
          <w:tcPr>
            <w:tcW w:w="6572" w:type="dxa"/>
          </w:tcPr>
          <w:p w14:paraId="5B77D0F9"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1) Simulation as a commodity: 44, 49, 89</w:t>
            </w:r>
          </w:p>
        </w:tc>
      </w:tr>
      <w:tr w:rsidR="00F57F64" w14:paraId="5B77D0FD" w14:textId="77777777">
        <w:trPr>
          <w:trHeight w:val="213"/>
        </w:trPr>
        <w:tc>
          <w:tcPr>
            <w:tcW w:w="2768" w:type="dxa"/>
            <w:vMerge/>
          </w:tcPr>
          <w:p w14:paraId="5B77D0FB" w14:textId="77777777" w:rsidR="00F57F64" w:rsidRDefault="00F57F64">
            <w:pPr>
              <w:widowControl w:val="0"/>
              <w:rPr>
                <w:rFonts w:ascii="Calibri" w:eastAsia="Calibri" w:hAnsi="Calibri" w:cs="Calibri"/>
                <w:sz w:val="24"/>
                <w:szCs w:val="24"/>
              </w:rPr>
            </w:pPr>
          </w:p>
        </w:tc>
        <w:tc>
          <w:tcPr>
            <w:tcW w:w="6572" w:type="dxa"/>
          </w:tcPr>
          <w:p w14:paraId="5B77D0FC" w14:textId="77777777" w:rsidR="00F57F64" w:rsidRDefault="003E36D7">
            <w:pPr>
              <w:widowControl w:val="0"/>
              <w:rPr>
                <w:rFonts w:ascii="Calibri" w:eastAsia="Calibri" w:hAnsi="Calibri" w:cs="Calibri"/>
                <w:sz w:val="24"/>
                <w:szCs w:val="24"/>
              </w:rPr>
            </w:pPr>
            <w:r>
              <w:rPr>
                <w:rFonts w:ascii="Calibri" w:eastAsia="Calibri" w:hAnsi="Calibri" w:cs="Calibri"/>
                <w:sz w:val="24"/>
                <w:szCs w:val="24"/>
              </w:rPr>
              <w:t>5) Simulation as a learning tool: 45</w:t>
            </w:r>
          </w:p>
        </w:tc>
      </w:tr>
    </w:tbl>
    <w:p w14:paraId="5B77D0FE" w14:textId="77777777" w:rsidR="00F57F64" w:rsidRDefault="00F57F64"/>
    <w:sectPr w:rsidR="00F57F6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5338EB3-2FD0-466A-A6C6-48ED4D45345E}"/>
    <w:embedBold r:id="rId2" w:fontKey="{7992B0BD-EDEA-4652-9228-B5E29BE43610}"/>
    <w:embedBoldItalic r:id="rId3" w:fontKey="{A6C72860-AE46-45CF-B083-56F5C3BFCA45}"/>
  </w:font>
  <w:font w:name="Cambria">
    <w:panose1 w:val="02040503050406030204"/>
    <w:charset w:val="00"/>
    <w:family w:val="roman"/>
    <w:pitch w:val="variable"/>
    <w:sig w:usb0="E00006FF" w:usb1="420024FF" w:usb2="02000000" w:usb3="00000000" w:csb0="0000019F" w:csb1="00000000"/>
    <w:embedRegular r:id="rId4" w:fontKey="{6DF0516B-7224-48CC-999F-D05FF8BD3B29}"/>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011D0"/>
    <w:multiLevelType w:val="multilevel"/>
    <w:tmpl w:val="FDD47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AE09EE"/>
    <w:multiLevelType w:val="multilevel"/>
    <w:tmpl w:val="5B2E5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50018B"/>
    <w:multiLevelType w:val="multilevel"/>
    <w:tmpl w:val="A1A00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9CB6267"/>
    <w:multiLevelType w:val="multilevel"/>
    <w:tmpl w:val="B81A3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C03B31"/>
    <w:multiLevelType w:val="multilevel"/>
    <w:tmpl w:val="10A83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322ADE"/>
    <w:multiLevelType w:val="multilevel"/>
    <w:tmpl w:val="7ED88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D096089"/>
    <w:multiLevelType w:val="multilevel"/>
    <w:tmpl w:val="66147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88B6238"/>
    <w:multiLevelType w:val="multilevel"/>
    <w:tmpl w:val="7F82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93C69C8"/>
    <w:multiLevelType w:val="multilevel"/>
    <w:tmpl w:val="F6689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C48500D"/>
    <w:multiLevelType w:val="multilevel"/>
    <w:tmpl w:val="97CC0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9"/>
  </w:num>
  <w:num w:numId="3">
    <w:abstractNumId w:val="1"/>
  </w:num>
  <w:num w:numId="4">
    <w:abstractNumId w:val="6"/>
  </w:num>
  <w:num w:numId="5">
    <w:abstractNumId w:val="7"/>
  </w:num>
  <w:num w:numId="6">
    <w:abstractNumId w:val="4"/>
  </w:num>
  <w:num w:numId="7">
    <w:abstractNumId w:val="2"/>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F64"/>
    <w:rsid w:val="003E36D7"/>
    <w:rsid w:val="00F57F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CF17"/>
  <w15:docId w15:val="{95DFC330-76AB-4C62-BC1D-7744E1D76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ffectivehealthcare.ahrq.gov/sites/default/files/assessing-the-risk-of-bias_draft-repor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j.jclinepi.2017.12.004" TargetMode="External"/><Relationship Id="rId12" Type="http://schemas.openxmlformats.org/officeDocument/2006/relationships/image" Target="media/image3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bi-global.atlassian.net/wiki/spaces/MANUAL/pages/355599504/Downloadable+PDF+-+current+version" TargetMode="External"/><Relationship Id="rId5" Type="http://schemas.openxmlformats.org/officeDocument/2006/relationships/hyperlink" Target="https://synthesismanual.jbi.global/" TargetMode="External"/><Relationship Id="rId10" Type="http://schemas.openxmlformats.org/officeDocument/2006/relationships/hyperlink" Target="https://training.cochrane.org/handbook" TargetMode="External"/><Relationship Id="rId4" Type="http://schemas.openxmlformats.org/officeDocument/2006/relationships/webSettings" Target="webSettings.xml"/><Relationship Id="rId9" Type="http://schemas.openxmlformats.org/officeDocument/2006/relationships/hyperlink" Target="https://training.cochrane.org/handboo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4176</Words>
  <Characters>23808</Characters>
  <Application>Microsoft Office Word</Application>
  <DocSecurity>0</DocSecurity>
  <Lines>198</Lines>
  <Paragraphs>55</Paragraphs>
  <ScaleCrop>false</ScaleCrop>
  <Company>HP</Company>
  <LinksUpToDate>false</LinksUpToDate>
  <CharactersWithSpaces>27929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Fizza Najeeb</cp:lastModifiedBy>
  <cp:revision>2</cp:revision>
  <dcterms:created xsi:type="dcterms:W3CDTF">2026-02-22T18:43:00Z</dcterms:created>
  <dcterms:modified xsi:type="dcterms:W3CDTF">2026-02-22T18:46:00Z</dcterms:modified>
</cp:coreProperties>
</file>